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5A68" w14:textId="20C30E85" w:rsidR="00472EFB" w:rsidRPr="00272B1E" w:rsidRDefault="001A594A" w:rsidP="001A594A">
      <w:pPr>
        <w:ind w:left="2608"/>
        <w:rPr>
          <w:lang w:val="en-US"/>
        </w:rPr>
      </w:pPr>
      <w:r>
        <w:rPr>
          <w:lang w:val="en-US"/>
        </w:rPr>
        <w:t xml:space="preserve">        </w:t>
      </w:r>
      <w:r w:rsidR="00F118D7">
        <w:rPr>
          <w:lang w:val="en-US"/>
        </w:rPr>
        <w:t>S</w:t>
      </w:r>
      <w:r w:rsidR="003C284D" w:rsidRPr="00272B1E">
        <w:rPr>
          <w:lang w:val="en-US"/>
        </w:rPr>
        <w:t>ustainability</w:t>
      </w:r>
      <w:r w:rsidR="00F118D7">
        <w:rPr>
          <w:lang w:val="en-US"/>
        </w:rPr>
        <w:t>-re</w:t>
      </w:r>
      <w:r w:rsidR="00333D10">
        <w:rPr>
          <w:lang w:val="en-US"/>
        </w:rPr>
        <w:t>lated disclosures</w:t>
      </w:r>
    </w:p>
    <w:p w14:paraId="3CCA8CB4" w14:textId="4CCDC493" w:rsidR="003C284D" w:rsidRPr="003C284D" w:rsidRDefault="003C284D" w:rsidP="003C284D">
      <w:pPr>
        <w:rPr>
          <w:lang w:val="en-US"/>
        </w:rPr>
      </w:pPr>
      <w:r w:rsidRPr="003C284D">
        <w:rPr>
          <w:lang w:val="en-US"/>
        </w:rPr>
        <w:t xml:space="preserve">This document provides information about </w:t>
      </w:r>
      <w:r w:rsidR="0001711B" w:rsidRPr="0001711B">
        <w:rPr>
          <w:lang w:val="en-US"/>
        </w:rPr>
        <w:t xml:space="preserve">AKL St. Petri L/S I </w:t>
      </w:r>
      <w:r w:rsidR="0001711B">
        <w:rPr>
          <w:lang w:val="en-US"/>
        </w:rPr>
        <w:t>(</w:t>
      </w:r>
      <w:r w:rsidR="0001711B" w:rsidRPr="0001711B">
        <w:rPr>
          <w:lang w:val="en-US"/>
        </w:rPr>
        <w:t>ISIN DK0060952836</w:t>
      </w:r>
      <w:r w:rsidR="0001711B">
        <w:rPr>
          <w:lang w:val="en-US"/>
        </w:rPr>
        <w:t xml:space="preserve">) </w:t>
      </w:r>
      <w:r>
        <w:rPr>
          <w:lang w:val="en-US"/>
        </w:rPr>
        <w:t xml:space="preserve">as required in </w:t>
      </w:r>
      <w:r w:rsidRPr="003C284D">
        <w:rPr>
          <w:lang w:val="en-US"/>
        </w:rPr>
        <w:t>the Sustainable Finance Disclosure Regulation. It is not marketing material. The information is required by law to help understand the sustainability characteristics</w:t>
      </w:r>
      <w:r>
        <w:rPr>
          <w:lang w:val="en-US"/>
        </w:rPr>
        <w:t xml:space="preserve"> </w:t>
      </w:r>
      <w:r w:rsidRPr="003C284D">
        <w:rPr>
          <w:lang w:val="en-US"/>
        </w:rPr>
        <w:t xml:space="preserve">and risks of this </w:t>
      </w:r>
      <w:r w:rsidR="0001711B">
        <w:rPr>
          <w:lang w:val="en-US"/>
        </w:rPr>
        <w:t>F</w:t>
      </w:r>
      <w:r w:rsidRPr="003C284D">
        <w:rPr>
          <w:lang w:val="en-US"/>
        </w:rPr>
        <w:t xml:space="preserve">und. </w:t>
      </w:r>
      <w:r w:rsidR="00FE1BDE">
        <w:rPr>
          <w:lang w:val="en-US"/>
        </w:rPr>
        <w:t xml:space="preserve"> This document</w:t>
      </w:r>
      <w:r w:rsidR="00D44A84">
        <w:rPr>
          <w:lang w:val="en-US"/>
        </w:rPr>
        <w:t xml:space="preserve"> should be </w:t>
      </w:r>
      <w:r w:rsidR="00A36A04">
        <w:rPr>
          <w:lang w:val="en-US"/>
        </w:rPr>
        <w:t>read</w:t>
      </w:r>
      <w:r w:rsidR="00D44A84">
        <w:rPr>
          <w:lang w:val="en-US"/>
        </w:rPr>
        <w:t xml:space="preserve"> in </w:t>
      </w:r>
      <w:r w:rsidRPr="003C284D">
        <w:rPr>
          <w:lang w:val="en-US"/>
        </w:rPr>
        <w:t>conjunction with other relevant documentation</w:t>
      </w:r>
      <w:r w:rsidR="00A876D9">
        <w:rPr>
          <w:lang w:val="en-US"/>
        </w:rPr>
        <w:t xml:space="preserve"> on this Fund </w:t>
      </w:r>
      <w:r w:rsidR="00E813C8">
        <w:rPr>
          <w:lang w:val="en-US"/>
        </w:rPr>
        <w:t>so investors can ma</w:t>
      </w:r>
      <w:r w:rsidRPr="003C284D">
        <w:rPr>
          <w:lang w:val="en-US"/>
        </w:rPr>
        <w:t>ke an informed decision about whether to invest</w:t>
      </w:r>
      <w:r w:rsidR="0095392D">
        <w:rPr>
          <w:lang w:val="en-US"/>
        </w:rPr>
        <w:t>.</w:t>
      </w:r>
      <w:r w:rsidR="00701334">
        <w:rPr>
          <w:lang w:val="en-US"/>
        </w:rPr>
        <w:tab/>
      </w:r>
    </w:p>
    <w:p w14:paraId="6E794D2E" w14:textId="77777777" w:rsidR="0095392D" w:rsidRDefault="003C284D" w:rsidP="003C284D">
      <w:pPr>
        <w:rPr>
          <w:lang w:val="en-US"/>
        </w:rPr>
      </w:pPr>
      <w:r w:rsidRPr="003C284D">
        <w:rPr>
          <w:lang w:val="en-US"/>
        </w:rPr>
        <w:t xml:space="preserve">For financial products referred to in Article 8(1) of Regulation (EU) 2019/2088, </w:t>
      </w:r>
      <w:r>
        <w:rPr>
          <w:lang w:val="en-US"/>
        </w:rPr>
        <w:t>St. Petri Capital</w:t>
      </w:r>
      <w:r w:rsidRPr="003C284D">
        <w:rPr>
          <w:lang w:val="en-US"/>
        </w:rPr>
        <w:t xml:space="preserve"> shall publish the information referred to in Article 10(1) of that Regulation and Articles 33 to 44 in the order and made up of the following sections titled: </w:t>
      </w:r>
    </w:p>
    <w:p w14:paraId="22E25122" w14:textId="77777777" w:rsidR="0095392D" w:rsidRDefault="003C284D" w:rsidP="003C284D">
      <w:pPr>
        <w:rPr>
          <w:lang w:val="en-US"/>
        </w:rPr>
      </w:pPr>
      <w:r w:rsidRPr="003C284D">
        <w:rPr>
          <w:lang w:val="en-US"/>
        </w:rPr>
        <w:t>(a) ‘Summary</w:t>
      </w:r>
      <w:proofErr w:type="gramStart"/>
      <w:r w:rsidRPr="003C284D">
        <w:rPr>
          <w:lang w:val="en-US"/>
        </w:rPr>
        <w:t>’;</w:t>
      </w:r>
      <w:proofErr w:type="gramEnd"/>
      <w:r w:rsidRPr="003C284D">
        <w:rPr>
          <w:lang w:val="en-US"/>
        </w:rPr>
        <w:t xml:space="preserve"> </w:t>
      </w:r>
    </w:p>
    <w:p w14:paraId="019C5CA4" w14:textId="77777777" w:rsidR="0095392D" w:rsidRDefault="003C284D" w:rsidP="003C284D">
      <w:pPr>
        <w:rPr>
          <w:lang w:val="en-US"/>
        </w:rPr>
      </w:pPr>
      <w:r w:rsidRPr="003C284D">
        <w:rPr>
          <w:lang w:val="en-US"/>
        </w:rPr>
        <w:t>(b) ‘No sustainable investment objective</w:t>
      </w:r>
      <w:proofErr w:type="gramStart"/>
      <w:r w:rsidRPr="003C284D">
        <w:rPr>
          <w:lang w:val="en-US"/>
        </w:rPr>
        <w:t>’;</w:t>
      </w:r>
      <w:proofErr w:type="gramEnd"/>
      <w:r w:rsidRPr="003C284D">
        <w:rPr>
          <w:lang w:val="en-US"/>
        </w:rPr>
        <w:t xml:space="preserve"> </w:t>
      </w:r>
    </w:p>
    <w:p w14:paraId="5A383636" w14:textId="77777777" w:rsidR="0095392D" w:rsidRDefault="003C284D" w:rsidP="003C284D">
      <w:pPr>
        <w:rPr>
          <w:lang w:val="en-US"/>
        </w:rPr>
      </w:pPr>
      <w:r w:rsidRPr="003C284D">
        <w:rPr>
          <w:lang w:val="en-US"/>
        </w:rPr>
        <w:t>(c) ‘Environmental or social characteristics of the financial product</w:t>
      </w:r>
      <w:proofErr w:type="gramStart"/>
      <w:r w:rsidRPr="003C284D">
        <w:rPr>
          <w:lang w:val="en-US"/>
        </w:rPr>
        <w:t>’;</w:t>
      </w:r>
      <w:proofErr w:type="gramEnd"/>
      <w:r w:rsidRPr="003C284D">
        <w:rPr>
          <w:lang w:val="en-US"/>
        </w:rPr>
        <w:t xml:space="preserve"> </w:t>
      </w:r>
    </w:p>
    <w:p w14:paraId="2FD63247" w14:textId="77777777" w:rsidR="0095392D" w:rsidRDefault="003C284D" w:rsidP="003C284D">
      <w:pPr>
        <w:rPr>
          <w:lang w:val="en-US"/>
        </w:rPr>
      </w:pPr>
      <w:r w:rsidRPr="003C284D">
        <w:rPr>
          <w:lang w:val="en-US"/>
        </w:rPr>
        <w:t>(d) ‘Investment strategy</w:t>
      </w:r>
      <w:proofErr w:type="gramStart"/>
      <w:r w:rsidRPr="003C284D">
        <w:rPr>
          <w:lang w:val="en-US"/>
        </w:rPr>
        <w:t>’;</w:t>
      </w:r>
      <w:proofErr w:type="gramEnd"/>
      <w:r w:rsidRPr="003C284D">
        <w:rPr>
          <w:lang w:val="en-US"/>
        </w:rPr>
        <w:t xml:space="preserve"> </w:t>
      </w:r>
    </w:p>
    <w:p w14:paraId="6D479B0F" w14:textId="77777777" w:rsidR="0095392D" w:rsidRDefault="003C284D" w:rsidP="003C284D">
      <w:pPr>
        <w:rPr>
          <w:lang w:val="en-US"/>
        </w:rPr>
      </w:pPr>
      <w:r w:rsidRPr="003C284D">
        <w:rPr>
          <w:lang w:val="en-US"/>
        </w:rPr>
        <w:t xml:space="preserve">(e) ‘Proportion of </w:t>
      </w:r>
      <w:proofErr w:type="gramStart"/>
      <w:r w:rsidRPr="003C284D">
        <w:rPr>
          <w:lang w:val="en-US"/>
        </w:rPr>
        <w:t>investments’;</w:t>
      </w:r>
      <w:proofErr w:type="gramEnd"/>
    </w:p>
    <w:p w14:paraId="42FC1ABF" w14:textId="77777777" w:rsidR="0095392D" w:rsidRDefault="003C284D" w:rsidP="003C284D">
      <w:pPr>
        <w:rPr>
          <w:lang w:val="en-US"/>
        </w:rPr>
      </w:pPr>
      <w:r w:rsidRPr="003C284D">
        <w:rPr>
          <w:lang w:val="en-US"/>
        </w:rPr>
        <w:t xml:space="preserve">(f) ‘Monitoring of environmental or social </w:t>
      </w:r>
      <w:proofErr w:type="gramStart"/>
      <w:r w:rsidRPr="003C284D">
        <w:rPr>
          <w:lang w:val="en-US"/>
        </w:rPr>
        <w:t>characteristics’;</w:t>
      </w:r>
      <w:proofErr w:type="gramEnd"/>
      <w:r w:rsidRPr="003C284D">
        <w:rPr>
          <w:lang w:val="en-US"/>
        </w:rPr>
        <w:t xml:space="preserve"> </w:t>
      </w:r>
    </w:p>
    <w:p w14:paraId="3B2E32B0" w14:textId="77777777" w:rsidR="0095392D" w:rsidRDefault="003C284D" w:rsidP="003C284D">
      <w:pPr>
        <w:rPr>
          <w:lang w:val="en-US"/>
        </w:rPr>
      </w:pPr>
      <w:r w:rsidRPr="003C284D">
        <w:rPr>
          <w:lang w:val="en-US"/>
        </w:rPr>
        <w:t>(g) ‘</w:t>
      </w:r>
      <w:proofErr w:type="gramStart"/>
      <w:r w:rsidRPr="003C284D">
        <w:rPr>
          <w:lang w:val="en-US"/>
        </w:rPr>
        <w:t>Methodologies’;</w:t>
      </w:r>
      <w:proofErr w:type="gramEnd"/>
      <w:r w:rsidRPr="003C284D">
        <w:rPr>
          <w:lang w:val="en-US"/>
        </w:rPr>
        <w:t xml:space="preserve"> </w:t>
      </w:r>
    </w:p>
    <w:p w14:paraId="2774E47B" w14:textId="77777777" w:rsidR="0095392D" w:rsidRDefault="003C284D" w:rsidP="003C284D">
      <w:pPr>
        <w:rPr>
          <w:lang w:val="en-US"/>
        </w:rPr>
      </w:pPr>
      <w:r w:rsidRPr="003C284D">
        <w:rPr>
          <w:lang w:val="en-US"/>
        </w:rPr>
        <w:t>(h) ‘Data sources and processing</w:t>
      </w:r>
      <w:proofErr w:type="gramStart"/>
      <w:r w:rsidRPr="003C284D">
        <w:rPr>
          <w:lang w:val="en-US"/>
        </w:rPr>
        <w:t>’;</w:t>
      </w:r>
      <w:proofErr w:type="gramEnd"/>
      <w:r w:rsidRPr="003C284D">
        <w:rPr>
          <w:lang w:val="en-US"/>
        </w:rPr>
        <w:t xml:space="preserve"> </w:t>
      </w:r>
    </w:p>
    <w:p w14:paraId="7A40F544" w14:textId="77777777" w:rsidR="0095392D" w:rsidRDefault="003C284D" w:rsidP="003C284D">
      <w:pPr>
        <w:rPr>
          <w:lang w:val="en-US"/>
        </w:rPr>
      </w:pPr>
      <w:r w:rsidRPr="003C284D">
        <w:rPr>
          <w:lang w:val="en-US"/>
        </w:rPr>
        <w:t>(i) ‘Limitations to methodologies and data</w:t>
      </w:r>
      <w:proofErr w:type="gramStart"/>
      <w:r w:rsidRPr="003C284D">
        <w:rPr>
          <w:lang w:val="en-US"/>
        </w:rPr>
        <w:t>’;</w:t>
      </w:r>
      <w:proofErr w:type="gramEnd"/>
      <w:r w:rsidRPr="003C284D">
        <w:rPr>
          <w:lang w:val="en-US"/>
        </w:rPr>
        <w:t xml:space="preserve"> </w:t>
      </w:r>
    </w:p>
    <w:p w14:paraId="2091E38C" w14:textId="77777777" w:rsidR="0095392D" w:rsidRDefault="003C284D" w:rsidP="003C284D">
      <w:pPr>
        <w:rPr>
          <w:lang w:val="en-US"/>
        </w:rPr>
      </w:pPr>
      <w:r w:rsidRPr="003C284D">
        <w:rPr>
          <w:lang w:val="en-US"/>
        </w:rPr>
        <w:t xml:space="preserve">(j) ‘Due diligence’; (k) ‘Engagement policies’; and </w:t>
      </w:r>
    </w:p>
    <w:p w14:paraId="0D9A7855" w14:textId="1557FD11" w:rsidR="003C284D" w:rsidRDefault="003C284D" w:rsidP="003C284D">
      <w:pPr>
        <w:rPr>
          <w:lang w:val="en-US"/>
        </w:rPr>
      </w:pPr>
      <w:r w:rsidRPr="003C284D">
        <w:rPr>
          <w:lang w:val="en-US"/>
        </w:rPr>
        <w:t>(l) where an index is designated as a reference benchmark for the purpose of attaining the environmental or social characteristics promoted by the financial product, ‘Designated reference benchmark’.</w:t>
      </w:r>
    </w:p>
    <w:p w14:paraId="702AD5C4" w14:textId="3657B9BD" w:rsidR="005C0456" w:rsidRDefault="005C0456" w:rsidP="003C284D">
      <w:pPr>
        <w:rPr>
          <w:lang w:val="en-US"/>
        </w:rPr>
      </w:pPr>
    </w:p>
    <w:p w14:paraId="5E7D531D" w14:textId="05946548" w:rsidR="005C0456" w:rsidRPr="005C0456" w:rsidRDefault="00562E36" w:rsidP="003C284D">
      <w:pPr>
        <w:rPr>
          <w:u w:val="single"/>
          <w:lang w:val="en-US"/>
        </w:rPr>
      </w:pPr>
      <w:r>
        <w:rPr>
          <w:u w:val="single"/>
          <w:lang w:val="en-US"/>
        </w:rPr>
        <w:t>Summary</w:t>
      </w:r>
    </w:p>
    <w:p w14:paraId="1F1A0729" w14:textId="4B339727" w:rsidR="005C0456" w:rsidRDefault="005C0456" w:rsidP="003C284D">
      <w:pPr>
        <w:rPr>
          <w:lang w:val="en-US"/>
        </w:rPr>
      </w:pPr>
      <w:r w:rsidRPr="005C0456">
        <w:rPr>
          <w:lang w:val="en-US"/>
        </w:rPr>
        <w:t xml:space="preserve">AKL St. Petri L/S I promotes environmental </w:t>
      </w:r>
      <w:r>
        <w:rPr>
          <w:lang w:val="en-US"/>
        </w:rPr>
        <w:t>and s</w:t>
      </w:r>
      <w:r w:rsidRPr="005C0456">
        <w:rPr>
          <w:lang w:val="en-US"/>
        </w:rPr>
        <w:t xml:space="preserve">ocial </w:t>
      </w:r>
      <w:r w:rsidR="00B965C5" w:rsidRPr="005C0456">
        <w:rPr>
          <w:lang w:val="en-US"/>
        </w:rPr>
        <w:t>characteristics but</w:t>
      </w:r>
      <w:r w:rsidRPr="005C0456">
        <w:rPr>
          <w:lang w:val="en-US"/>
        </w:rPr>
        <w:t xml:space="preserve"> does not have as its objective a sustainable investment.</w:t>
      </w:r>
    </w:p>
    <w:p w14:paraId="6FCD4218" w14:textId="1C4A69DB" w:rsidR="005C0456" w:rsidRDefault="005C0456" w:rsidP="003C284D">
      <w:pPr>
        <w:rPr>
          <w:lang w:val="en-US"/>
        </w:rPr>
      </w:pPr>
      <w:r w:rsidRPr="005C0456">
        <w:rPr>
          <w:lang w:val="en-US"/>
        </w:rPr>
        <w:t>Th</w:t>
      </w:r>
      <w:r w:rsidR="00A105AD">
        <w:rPr>
          <w:lang w:val="en-US"/>
        </w:rPr>
        <w:t xml:space="preserve">is </w:t>
      </w:r>
      <w:r w:rsidR="0001711B">
        <w:rPr>
          <w:lang w:val="en-US"/>
        </w:rPr>
        <w:t>F</w:t>
      </w:r>
      <w:r>
        <w:rPr>
          <w:lang w:val="en-US"/>
        </w:rPr>
        <w:t>und has as its objective</w:t>
      </w:r>
      <w:r w:rsidRPr="005C0456">
        <w:rPr>
          <w:lang w:val="en-US"/>
        </w:rPr>
        <w:t>, via the total composition of companies in the</w:t>
      </w:r>
      <w:r w:rsidR="006A5EC6">
        <w:rPr>
          <w:lang w:val="en-US"/>
        </w:rPr>
        <w:t xml:space="preserve"> portfolio</w:t>
      </w:r>
      <w:r w:rsidR="00BC35B6">
        <w:rPr>
          <w:lang w:val="en-US"/>
        </w:rPr>
        <w:t>’</w:t>
      </w:r>
      <w:r w:rsidR="006A5EC6">
        <w:rPr>
          <w:lang w:val="en-US"/>
        </w:rPr>
        <w:t>s</w:t>
      </w:r>
      <w:r w:rsidRPr="005C0456">
        <w:rPr>
          <w:lang w:val="en-US"/>
        </w:rPr>
        <w:t xml:space="preserve"> long leg, to promote responsible environmental (E), social (S) and managerial (G) characteristics (ESG).</w:t>
      </w:r>
      <w:r>
        <w:rPr>
          <w:lang w:val="en-US"/>
        </w:rPr>
        <w:t xml:space="preserve"> </w:t>
      </w:r>
    </w:p>
    <w:p w14:paraId="4638880F" w14:textId="77777777" w:rsidR="00A105AD" w:rsidRPr="00A105AD" w:rsidRDefault="00A105AD" w:rsidP="00A105AD">
      <w:pPr>
        <w:rPr>
          <w:lang w:val="en-US"/>
        </w:rPr>
      </w:pPr>
      <w:r w:rsidRPr="00A105AD">
        <w:rPr>
          <w:lang w:val="en-US"/>
        </w:rPr>
        <w:t>This is done by ensuring:</w:t>
      </w:r>
    </w:p>
    <w:p w14:paraId="01C88809" w14:textId="768E3B7E" w:rsidR="00A105AD" w:rsidRPr="00A105AD" w:rsidRDefault="0010602A" w:rsidP="00A105AD">
      <w:pPr>
        <w:pStyle w:val="ListParagraph"/>
        <w:numPr>
          <w:ilvl w:val="0"/>
          <w:numId w:val="1"/>
        </w:numPr>
        <w:rPr>
          <w:lang w:val="en-US"/>
        </w:rPr>
      </w:pPr>
      <w:r>
        <w:rPr>
          <w:lang w:val="en-US"/>
        </w:rPr>
        <w:t>T</w:t>
      </w:r>
      <w:r w:rsidR="00A105AD" w:rsidRPr="00A105AD">
        <w:rPr>
          <w:lang w:val="en-US"/>
        </w:rPr>
        <w:t>hat all long positions comply with international norms and standards and with St. Petri Capital's ESG positions</w:t>
      </w:r>
    </w:p>
    <w:p w14:paraId="051779EB" w14:textId="49C50278" w:rsidR="00A105AD" w:rsidRPr="00A105AD" w:rsidRDefault="0010602A" w:rsidP="00A105AD">
      <w:pPr>
        <w:pStyle w:val="ListParagraph"/>
        <w:numPr>
          <w:ilvl w:val="0"/>
          <w:numId w:val="1"/>
        </w:numPr>
        <w:rPr>
          <w:lang w:val="en-US"/>
        </w:rPr>
      </w:pPr>
      <w:r>
        <w:rPr>
          <w:lang w:val="en-US"/>
        </w:rPr>
        <w:t>T</w:t>
      </w:r>
      <w:r w:rsidR="00A105AD" w:rsidRPr="00A105AD">
        <w:rPr>
          <w:lang w:val="en-US"/>
        </w:rPr>
        <w:t>hat</w:t>
      </w:r>
      <w:r w:rsidR="00807A5B">
        <w:rPr>
          <w:lang w:val="en-US"/>
        </w:rPr>
        <w:t xml:space="preserve"> </w:t>
      </w:r>
      <w:r w:rsidR="00A105AD" w:rsidRPr="00A105AD">
        <w:rPr>
          <w:lang w:val="en-US"/>
        </w:rPr>
        <w:t>the ESG</w:t>
      </w:r>
      <w:r w:rsidR="004A4EF6">
        <w:rPr>
          <w:lang w:val="en-US"/>
        </w:rPr>
        <w:t>-</w:t>
      </w:r>
      <w:r w:rsidR="00A105AD" w:rsidRPr="00A105AD">
        <w:rPr>
          <w:lang w:val="en-US"/>
        </w:rPr>
        <w:t>risk</w:t>
      </w:r>
      <w:r w:rsidR="004A4EF6">
        <w:rPr>
          <w:lang w:val="en-US"/>
        </w:rPr>
        <w:t>-</w:t>
      </w:r>
      <w:r w:rsidR="00A105AD" w:rsidRPr="00A105AD">
        <w:rPr>
          <w:lang w:val="en-US"/>
        </w:rPr>
        <w:t xml:space="preserve">score is </w:t>
      </w:r>
      <w:r w:rsidR="005A4F12" w:rsidRPr="00A105AD">
        <w:rPr>
          <w:lang w:val="en-US"/>
        </w:rPr>
        <w:t>reduced,</w:t>
      </w:r>
      <w:r w:rsidR="00A105AD" w:rsidRPr="00A105AD">
        <w:rPr>
          <w:lang w:val="en-US"/>
        </w:rPr>
        <w:t xml:space="preserve"> and the ESG</w:t>
      </w:r>
      <w:r w:rsidR="005A4F12">
        <w:rPr>
          <w:lang w:val="en-US"/>
        </w:rPr>
        <w:t>-</w:t>
      </w:r>
      <w:r w:rsidR="00A105AD" w:rsidRPr="00A105AD">
        <w:rPr>
          <w:lang w:val="en-US"/>
        </w:rPr>
        <w:t>impact</w:t>
      </w:r>
      <w:r w:rsidR="005A4F12">
        <w:rPr>
          <w:lang w:val="en-US"/>
        </w:rPr>
        <w:t>-</w:t>
      </w:r>
      <w:r w:rsidR="00A105AD" w:rsidRPr="00A105AD">
        <w:rPr>
          <w:lang w:val="en-US"/>
        </w:rPr>
        <w:t>score is increased over three-year cycles</w:t>
      </w:r>
      <w:r w:rsidR="00807A5B">
        <w:rPr>
          <w:lang w:val="en-US"/>
        </w:rPr>
        <w:t>,</w:t>
      </w:r>
      <w:r w:rsidR="00807A5B" w:rsidRPr="00A105AD">
        <w:rPr>
          <w:lang w:val="en-US"/>
        </w:rPr>
        <w:t xml:space="preserve"> for the </w:t>
      </w:r>
      <w:r w:rsidR="00807A5B">
        <w:rPr>
          <w:lang w:val="en-US"/>
        </w:rPr>
        <w:t>Fund’s</w:t>
      </w:r>
      <w:r w:rsidR="00807A5B" w:rsidRPr="00A105AD">
        <w:rPr>
          <w:lang w:val="en-US"/>
        </w:rPr>
        <w:t xml:space="preserve"> long </w:t>
      </w:r>
      <w:proofErr w:type="gramStart"/>
      <w:r w:rsidR="00807A5B" w:rsidRPr="00A105AD">
        <w:rPr>
          <w:lang w:val="en-US"/>
        </w:rPr>
        <w:t>positions</w:t>
      </w:r>
      <w:proofErr w:type="gramEnd"/>
    </w:p>
    <w:p w14:paraId="25DF298E" w14:textId="06991C5C" w:rsidR="00A105AD" w:rsidRDefault="0010602A" w:rsidP="00A105AD">
      <w:pPr>
        <w:pStyle w:val="ListParagraph"/>
        <w:numPr>
          <w:ilvl w:val="0"/>
          <w:numId w:val="1"/>
        </w:numPr>
        <w:rPr>
          <w:lang w:val="en-US"/>
        </w:rPr>
      </w:pPr>
      <w:r>
        <w:rPr>
          <w:lang w:val="en-US"/>
        </w:rPr>
        <w:t>T</w:t>
      </w:r>
      <w:r w:rsidR="00A105AD">
        <w:rPr>
          <w:lang w:val="en-US"/>
        </w:rPr>
        <w:t xml:space="preserve">hat the </w:t>
      </w:r>
      <w:r w:rsidR="0001711B">
        <w:rPr>
          <w:lang w:val="en-US"/>
        </w:rPr>
        <w:t>F</w:t>
      </w:r>
      <w:r w:rsidR="00A105AD">
        <w:rPr>
          <w:lang w:val="en-US"/>
        </w:rPr>
        <w:t>und</w:t>
      </w:r>
      <w:r w:rsidR="00A105AD" w:rsidRPr="00A105AD">
        <w:rPr>
          <w:lang w:val="en-US"/>
        </w:rPr>
        <w:t xml:space="preserve"> limit</w:t>
      </w:r>
      <w:r w:rsidR="00A105AD">
        <w:rPr>
          <w:lang w:val="en-US"/>
        </w:rPr>
        <w:t>s</w:t>
      </w:r>
      <w:r w:rsidR="00A105AD" w:rsidRPr="00A105AD">
        <w:rPr>
          <w:lang w:val="en-US"/>
        </w:rPr>
        <w:t xml:space="preserve"> investments in companies with an elevated ESG risk profile</w:t>
      </w:r>
      <w:r w:rsidR="00E53D94">
        <w:rPr>
          <w:lang w:val="en-US"/>
        </w:rPr>
        <w:t>.</w:t>
      </w:r>
    </w:p>
    <w:p w14:paraId="66581727" w14:textId="3F81E29D" w:rsidR="00A105AD" w:rsidRPr="00A105AD" w:rsidRDefault="00CA020C" w:rsidP="00A105AD">
      <w:pPr>
        <w:rPr>
          <w:lang w:val="en-US"/>
        </w:rPr>
      </w:pPr>
      <w:r>
        <w:rPr>
          <w:lang w:val="en-US"/>
        </w:rPr>
        <w:t xml:space="preserve">For the </w:t>
      </w:r>
      <w:r w:rsidR="0001711B">
        <w:rPr>
          <w:lang w:val="en-US"/>
        </w:rPr>
        <w:t>F</w:t>
      </w:r>
      <w:r>
        <w:rPr>
          <w:lang w:val="en-US"/>
        </w:rPr>
        <w:t>und</w:t>
      </w:r>
      <w:r w:rsidR="00E05199">
        <w:rPr>
          <w:lang w:val="en-US"/>
        </w:rPr>
        <w:t>’</w:t>
      </w:r>
      <w:r>
        <w:rPr>
          <w:lang w:val="en-US"/>
        </w:rPr>
        <w:t xml:space="preserve">s long positions, </w:t>
      </w:r>
      <w:r w:rsidRPr="00CA020C">
        <w:rPr>
          <w:lang w:val="en-US"/>
        </w:rPr>
        <w:t xml:space="preserve">principal adverse impacts on sustainability </w:t>
      </w:r>
      <w:r w:rsidR="00944545" w:rsidRPr="00CA020C">
        <w:rPr>
          <w:lang w:val="en-US"/>
        </w:rPr>
        <w:t>factors</w:t>
      </w:r>
      <w:r>
        <w:rPr>
          <w:lang w:val="en-US"/>
        </w:rPr>
        <w:t xml:space="preserve"> are considered. </w:t>
      </w:r>
    </w:p>
    <w:p w14:paraId="613FD2F5" w14:textId="3A04315F" w:rsidR="00A105AD" w:rsidRDefault="00047A9A" w:rsidP="00A105AD">
      <w:pPr>
        <w:rPr>
          <w:lang w:val="en-US"/>
        </w:rPr>
      </w:pPr>
      <w:r>
        <w:rPr>
          <w:lang w:val="en-US"/>
        </w:rPr>
        <w:lastRenderedPageBreak/>
        <w:t xml:space="preserve">To ensure </w:t>
      </w:r>
      <w:r w:rsidR="001B2AD7">
        <w:rPr>
          <w:lang w:val="en-US"/>
        </w:rPr>
        <w:t>the integration of the</w:t>
      </w:r>
      <w:r w:rsidR="00B8783F">
        <w:rPr>
          <w:lang w:val="en-US"/>
        </w:rPr>
        <w:t xml:space="preserve"> Fund’s</w:t>
      </w:r>
      <w:r w:rsidR="001B2AD7">
        <w:rPr>
          <w:lang w:val="en-US"/>
        </w:rPr>
        <w:t xml:space="preserve"> ESG c</w:t>
      </w:r>
      <w:r w:rsidR="00DB2A1C">
        <w:rPr>
          <w:lang w:val="en-US"/>
        </w:rPr>
        <w:t>haracteristics</w:t>
      </w:r>
      <w:r w:rsidR="007F45A2">
        <w:rPr>
          <w:lang w:val="en-US"/>
        </w:rPr>
        <w:t xml:space="preserve">, companies </w:t>
      </w:r>
      <w:r w:rsidR="002256EC" w:rsidRPr="00A105AD">
        <w:rPr>
          <w:lang w:val="en-US"/>
        </w:rPr>
        <w:t xml:space="preserve">that have a </w:t>
      </w:r>
      <w:r w:rsidR="002256EC">
        <w:rPr>
          <w:lang w:val="en-US"/>
        </w:rPr>
        <w:t xml:space="preserve">significant principal adverse impact </w:t>
      </w:r>
      <w:r w:rsidR="002256EC" w:rsidRPr="00A105AD">
        <w:rPr>
          <w:lang w:val="en-US"/>
        </w:rPr>
        <w:t>on the sustainability factors</w:t>
      </w:r>
      <w:r w:rsidR="004959F9">
        <w:rPr>
          <w:lang w:val="en-US"/>
        </w:rPr>
        <w:t xml:space="preserve"> </w:t>
      </w:r>
      <w:r w:rsidR="00280F9B">
        <w:rPr>
          <w:lang w:val="en-US"/>
        </w:rPr>
        <w:t>or</w:t>
      </w:r>
      <w:r w:rsidR="00334F4D">
        <w:rPr>
          <w:lang w:val="en-US"/>
        </w:rPr>
        <w:t xml:space="preserve"> </w:t>
      </w:r>
      <w:r w:rsidR="002256EC" w:rsidRPr="00A105AD">
        <w:rPr>
          <w:lang w:val="en-US"/>
        </w:rPr>
        <w:t xml:space="preserve">the Fund's </w:t>
      </w:r>
      <w:r w:rsidR="002256EC">
        <w:rPr>
          <w:lang w:val="en-US"/>
        </w:rPr>
        <w:t>sustainability indicators</w:t>
      </w:r>
      <w:r w:rsidR="000C49BC">
        <w:rPr>
          <w:lang w:val="en-US"/>
        </w:rPr>
        <w:t xml:space="preserve">, and companies with an </w:t>
      </w:r>
      <w:r w:rsidR="00732ED5">
        <w:rPr>
          <w:lang w:val="en-US"/>
        </w:rPr>
        <w:t xml:space="preserve">increased ESG risk, </w:t>
      </w:r>
      <w:r w:rsidR="00AE32A9">
        <w:rPr>
          <w:lang w:val="en-US"/>
        </w:rPr>
        <w:t>may</w:t>
      </w:r>
      <w:r w:rsidR="00732ED5">
        <w:rPr>
          <w:lang w:val="en-US"/>
        </w:rPr>
        <w:t xml:space="preserve"> </w:t>
      </w:r>
      <w:r w:rsidR="00120B48">
        <w:rPr>
          <w:lang w:val="en-US"/>
        </w:rPr>
        <w:t xml:space="preserve">as a last resort be </w:t>
      </w:r>
      <w:r w:rsidR="00732ED5">
        <w:rPr>
          <w:lang w:val="en-US"/>
        </w:rPr>
        <w:t>divested</w:t>
      </w:r>
      <w:r w:rsidR="00120B48">
        <w:rPr>
          <w:lang w:val="en-US"/>
        </w:rPr>
        <w:t xml:space="preserve"> from the portfolio</w:t>
      </w:r>
      <w:r w:rsidR="002256EC">
        <w:rPr>
          <w:lang w:val="en-US"/>
        </w:rPr>
        <w:t xml:space="preserve">. </w:t>
      </w:r>
      <w:r w:rsidR="00A105AD" w:rsidRPr="00A105AD">
        <w:rPr>
          <w:lang w:val="en-US"/>
        </w:rPr>
        <w:t xml:space="preserve">Before </w:t>
      </w:r>
      <w:r w:rsidR="00DF0917">
        <w:rPr>
          <w:lang w:val="en-US"/>
        </w:rPr>
        <w:t xml:space="preserve">divesting </w:t>
      </w:r>
      <w:r w:rsidR="00A105AD" w:rsidRPr="00A105AD">
        <w:rPr>
          <w:lang w:val="en-US"/>
        </w:rPr>
        <w:t xml:space="preserve">a long position, a qualitative analysis is carried out </w:t>
      </w:r>
      <w:r w:rsidR="00944545" w:rsidRPr="00A105AD">
        <w:rPr>
          <w:lang w:val="en-US"/>
        </w:rPr>
        <w:t>to</w:t>
      </w:r>
      <w:r w:rsidR="00A105AD" w:rsidRPr="00A105AD">
        <w:rPr>
          <w:lang w:val="en-US"/>
        </w:rPr>
        <w:t xml:space="preserve"> assess whether the company has a realistic and sustainable ESG strategy going forward.</w:t>
      </w:r>
    </w:p>
    <w:p w14:paraId="4187072E" w14:textId="376E1646" w:rsidR="00DF0917" w:rsidRDefault="00DF0917" w:rsidP="00A105AD">
      <w:pPr>
        <w:rPr>
          <w:lang w:val="en-US"/>
        </w:rPr>
      </w:pPr>
      <w:r w:rsidRPr="00DF0917">
        <w:rPr>
          <w:lang w:val="en-US"/>
        </w:rPr>
        <w:t xml:space="preserve">The </w:t>
      </w:r>
      <w:r>
        <w:rPr>
          <w:lang w:val="en-US"/>
        </w:rPr>
        <w:t>Fund</w:t>
      </w:r>
      <w:r w:rsidRPr="00DF0917">
        <w:rPr>
          <w:lang w:val="en-US"/>
        </w:rPr>
        <w:t xml:space="preserve"> has an investment strategy that integrates ESG</w:t>
      </w:r>
      <w:r w:rsidR="00EB5DFF">
        <w:rPr>
          <w:lang w:val="en-US"/>
        </w:rPr>
        <w:t xml:space="preserve"> </w:t>
      </w:r>
      <w:r w:rsidRPr="00DF0917">
        <w:rPr>
          <w:lang w:val="en-US"/>
        </w:rPr>
        <w:t xml:space="preserve">screening into the investment </w:t>
      </w:r>
      <w:r w:rsidR="003E4B0B" w:rsidRPr="00DF0917">
        <w:rPr>
          <w:lang w:val="en-US"/>
        </w:rPr>
        <w:t>process and</w:t>
      </w:r>
      <w:r w:rsidRPr="00DF0917">
        <w:rPr>
          <w:lang w:val="en-US"/>
        </w:rPr>
        <w:t xml:space="preserve"> evaluates the </w:t>
      </w:r>
      <w:r w:rsidR="002132FA">
        <w:rPr>
          <w:lang w:val="en-US"/>
        </w:rPr>
        <w:t>evol</w:t>
      </w:r>
      <w:r w:rsidR="0039728D">
        <w:rPr>
          <w:lang w:val="en-US"/>
        </w:rPr>
        <w:t>vement</w:t>
      </w:r>
      <w:r w:rsidRPr="00DF0917">
        <w:rPr>
          <w:lang w:val="en-US"/>
        </w:rPr>
        <w:t xml:space="preserve"> of the </w:t>
      </w:r>
      <w:r>
        <w:rPr>
          <w:lang w:val="en-US"/>
        </w:rPr>
        <w:t>Funds</w:t>
      </w:r>
      <w:r w:rsidRPr="00DF0917">
        <w:rPr>
          <w:lang w:val="en-US"/>
        </w:rPr>
        <w:t xml:space="preserve"> sustainability indicators. The process includes an assessment of the level of good governance</w:t>
      </w:r>
      <w:r w:rsidR="002B2751">
        <w:rPr>
          <w:lang w:val="en-US"/>
        </w:rPr>
        <w:t xml:space="preserve"> for each company</w:t>
      </w:r>
      <w:r w:rsidR="00A23F51">
        <w:rPr>
          <w:lang w:val="en-US"/>
        </w:rPr>
        <w:t xml:space="preserve">, and the </w:t>
      </w:r>
      <w:r w:rsidR="009D46D9">
        <w:rPr>
          <w:lang w:val="en-US"/>
        </w:rPr>
        <w:t>option</w:t>
      </w:r>
      <w:r w:rsidR="00A23F51">
        <w:rPr>
          <w:lang w:val="en-US"/>
        </w:rPr>
        <w:t xml:space="preserve"> to engage in active</w:t>
      </w:r>
      <w:r w:rsidR="00B951FA">
        <w:rPr>
          <w:lang w:val="en-US"/>
        </w:rPr>
        <w:t xml:space="preserve"> ownership</w:t>
      </w:r>
      <w:r w:rsidRPr="00DF0917">
        <w:rPr>
          <w:lang w:val="en-US"/>
        </w:rPr>
        <w:t>. The ESG screening process is described in St. Petri Capital's</w:t>
      </w:r>
      <w:r w:rsidR="002B0C8E">
        <w:rPr>
          <w:color w:val="FF0000"/>
          <w:lang w:val="en-US"/>
        </w:rPr>
        <w:t xml:space="preserve"> </w:t>
      </w:r>
      <w:hyperlink r:id="rId8" w:history="1">
        <w:r w:rsidR="002B0C8E" w:rsidRPr="002B0C8E">
          <w:rPr>
            <w:rStyle w:val="Hyperlink"/>
            <w:lang w:val="en-US"/>
          </w:rPr>
          <w:t>Responsible Investment Policy</w:t>
        </w:r>
      </w:hyperlink>
      <w:r w:rsidRPr="00DF0917">
        <w:rPr>
          <w:lang w:val="en-US"/>
        </w:rPr>
        <w:t xml:space="preserve">. The </w:t>
      </w:r>
      <w:r w:rsidR="002B2751">
        <w:rPr>
          <w:lang w:val="en-US"/>
        </w:rPr>
        <w:t>Fund’s</w:t>
      </w:r>
      <w:r w:rsidRPr="00DF0917">
        <w:rPr>
          <w:lang w:val="en-US"/>
        </w:rPr>
        <w:t xml:space="preserve"> sustainability indicators measure </w:t>
      </w:r>
      <w:r w:rsidR="002B2751">
        <w:rPr>
          <w:lang w:val="en-US"/>
        </w:rPr>
        <w:t>how</w:t>
      </w:r>
      <w:r w:rsidRPr="00DF0917">
        <w:rPr>
          <w:lang w:val="en-US"/>
        </w:rPr>
        <w:t xml:space="preserve"> the fund's ESG characteristics are promoted. The investment strategy defines seven binding elements that </w:t>
      </w:r>
      <w:r w:rsidR="00033964" w:rsidRPr="00DF0917">
        <w:rPr>
          <w:lang w:val="en-US"/>
        </w:rPr>
        <w:t>support</w:t>
      </w:r>
      <w:r w:rsidRPr="00DF0917">
        <w:rPr>
          <w:lang w:val="en-US"/>
        </w:rPr>
        <w:t xml:space="preserve"> a positive development in the sustainability indicators and thus promote</w:t>
      </w:r>
      <w:r w:rsidR="007B12FA">
        <w:rPr>
          <w:lang w:val="en-US"/>
        </w:rPr>
        <w:t>s</w:t>
      </w:r>
      <w:r w:rsidRPr="00DF0917">
        <w:rPr>
          <w:lang w:val="en-US"/>
        </w:rPr>
        <w:t xml:space="preserve"> the integration of the </w:t>
      </w:r>
      <w:r w:rsidR="002B2751">
        <w:rPr>
          <w:lang w:val="en-US"/>
        </w:rPr>
        <w:t>Fund’s</w:t>
      </w:r>
      <w:r w:rsidRPr="00DF0917">
        <w:rPr>
          <w:lang w:val="en-US"/>
        </w:rPr>
        <w:t xml:space="preserve"> ESG characteristics.</w:t>
      </w:r>
    </w:p>
    <w:p w14:paraId="0D2B565B" w14:textId="77777777" w:rsidR="002B2751" w:rsidRPr="002B2751" w:rsidRDefault="002B2751" w:rsidP="002B2751">
      <w:pPr>
        <w:rPr>
          <w:lang w:val="en-US"/>
        </w:rPr>
      </w:pPr>
      <w:r w:rsidRPr="002B2751">
        <w:rPr>
          <w:lang w:val="en-US"/>
        </w:rPr>
        <w:t>The Fund's short positions do not affect the integration of the Fund's ESG characteristics.</w:t>
      </w:r>
    </w:p>
    <w:p w14:paraId="529CA312" w14:textId="13B501E4" w:rsidR="002B2751" w:rsidRPr="002B2751" w:rsidRDefault="00B92959" w:rsidP="002B2751">
      <w:pPr>
        <w:rPr>
          <w:lang w:val="en-US"/>
        </w:rPr>
      </w:pPr>
      <w:r>
        <w:rPr>
          <w:lang w:val="en-US"/>
        </w:rPr>
        <w:t>Through</w:t>
      </w:r>
      <w:r w:rsidR="003265B2">
        <w:rPr>
          <w:lang w:val="en-US"/>
        </w:rPr>
        <w:t xml:space="preserve"> </w:t>
      </w:r>
      <w:r w:rsidR="002B2751" w:rsidRPr="002B2751">
        <w:rPr>
          <w:lang w:val="en-US"/>
        </w:rPr>
        <w:t>SEB</w:t>
      </w:r>
      <w:r w:rsidR="003265B2">
        <w:rPr>
          <w:lang w:val="en-US"/>
        </w:rPr>
        <w:t>, the Fund</w:t>
      </w:r>
      <w:r w:rsidR="0004458C">
        <w:rPr>
          <w:lang w:val="en-US"/>
        </w:rPr>
        <w:t>’</w:t>
      </w:r>
      <w:r w:rsidR="003265B2">
        <w:rPr>
          <w:lang w:val="en-US"/>
        </w:rPr>
        <w:t>s investment service provider</w:t>
      </w:r>
      <w:r w:rsidR="0004458C">
        <w:rPr>
          <w:lang w:val="en-US"/>
        </w:rPr>
        <w:t xml:space="preserve"> Wealth Invest,</w:t>
      </w:r>
      <w:r w:rsidR="002B2751" w:rsidRPr="002B2751">
        <w:rPr>
          <w:lang w:val="en-US"/>
        </w:rPr>
        <w:t xml:space="preserve"> monitors several of the sustainability indicators daily</w:t>
      </w:r>
      <w:r w:rsidR="0094754E">
        <w:rPr>
          <w:lang w:val="en-US"/>
        </w:rPr>
        <w:t>. T</w:t>
      </w:r>
      <w:r w:rsidR="002B2751" w:rsidRPr="002B2751">
        <w:rPr>
          <w:lang w:val="en-US"/>
        </w:rPr>
        <w:t>he rest are monitored at varying intervals by St. Petri Capital</w:t>
      </w:r>
      <w:r w:rsidR="002B2751">
        <w:rPr>
          <w:lang w:val="en-US"/>
        </w:rPr>
        <w:t>,</w:t>
      </w:r>
      <w:r w:rsidR="002B2751" w:rsidRPr="002B2751">
        <w:rPr>
          <w:lang w:val="en-US"/>
        </w:rPr>
        <w:t xml:space="preserve"> using data and methods developed by Clarity AI, SEB, </w:t>
      </w:r>
      <w:proofErr w:type="gramStart"/>
      <w:r w:rsidR="002B2751" w:rsidRPr="002B2751">
        <w:rPr>
          <w:lang w:val="en-US"/>
        </w:rPr>
        <w:t>ISS</w:t>
      </w:r>
      <w:proofErr w:type="gramEnd"/>
      <w:r w:rsidR="002B2751" w:rsidRPr="002B2751">
        <w:rPr>
          <w:lang w:val="en-US"/>
        </w:rPr>
        <w:t xml:space="preserve"> and St. Petri Capital et al.</w:t>
      </w:r>
    </w:p>
    <w:p w14:paraId="5E28C45A" w14:textId="77777777" w:rsidR="002B2751" w:rsidRPr="002B2751" w:rsidRDefault="002B2751" w:rsidP="002B2751">
      <w:pPr>
        <w:rPr>
          <w:lang w:val="en-US"/>
        </w:rPr>
      </w:pPr>
      <w:r w:rsidRPr="002B2751">
        <w:rPr>
          <w:lang w:val="en-US"/>
        </w:rPr>
        <w:t>St. Petri Capital continuously evaluates the quality and validity of both the internal and external data sources and methods.</w:t>
      </w:r>
    </w:p>
    <w:p w14:paraId="097481B7" w14:textId="36F0E44A" w:rsidR="002B2751" w:rsidRDefault="002B2751" w:rsidP="002B2751">
      <w:pPr>
        <w:rPr>
          <w:lang w:val="en-US"/>
        </w:rPr>
      </w:pPr>
      <w:r w:rsidRPr="002B2751">
        <w:rPr>
          <w:lang w:val="en-US"/>
        </w:rPr>
        <w:t>St. Petri Capital's investment committee has the ultimate responsibility for ensuring that all investments comply with St. Petri Capital's Responsible Investment Policy and that the fund's ESG characteristics are implemented.</w:t>
      </w:r>
    </w:p>
    <w:p w14:paraId="17900347" w14:textId="77777777" w:rsidR="00B951FA" w:rsidRDefault="00B951FA" w:rsidP="002B2751">
      <w:pPr>
        <w:rPr>
          <w:lang w:val="en-US"/>
        </w:rPr>
      </w:pPr>
    </w:p>
    <w:p w14:paraId="4E034BE0" w14:textId="24D64B11" w:rsidR="002B2751" w:rsidRPr="00997EB7" w:rsidRDefault="002B2751" w:rsidP="002B2751">
      <w:pPr>
        <w:rPr>
          <w:u w:val="single"/>
          <w:lang w:val="en-US"/>
        </w:rPr>
      </w:pPr>
      <w:r w:rsidRPr="00997EB7">
        <w:rPr>
          <w:u w:val="single"/>
          <w:lang w:val="en-US"/>
        </w:rPr>
        <w:t>No sustainable investment objective</w:t>
      </w:r>
    </w:p>
    <w:p w14:paraId="4C0A8266" w14:textId="521DA540" w:rsidR="002B2751" w:rsidRDefault="002B2751" w:rsidP="002B2751">
      <w:pPr>
        <w:rPr>
          <w:lang w:val="en-US"/>
        </w:rPr>
      </w:pPr>
      <w:r w:rsidRPr="002B2751">
        <w:rPr>
          <w:lang w:val="en-US"/>
        </w:rPr>
        <w:t xml:space="preserve">This financial product promotes environmental or social </w:t>
      </w:r>
      <w:r w:rsidR="00997EB7" w:rsidRPr="002B2751">
        <w:rPr>
          <w:lang w:val="en-US"/>
        </w:rPr>
        <w:t>characteristics but</w:t>
      </w:r>
      <w:r w:rsidRPr="002B2751">
        <w:rPr>
          <w:lang w:val="en-US"/>
        </w:rPr>
        <w:t xml:space="preserve"> does not have as its objective a sustainable investment.</w:t>
      </w:r>
    </w:p>
    <w:p w14:paraId="683B00A3" w14:textId="3A9456B7" w:rsidR="00997EB7" w:rsidRDefault="00997EB7" w:rsidP="002B2751">
      <w:pPr>
        <w:rPr>
          <w:lang w:val="en-US"/>
        </w:rPr>
      </w:pPr>
    </w:p>
    <w:p w14:paraId="67CF7ABA" w14:textId="4F750EFC" w:rsidR="00997EB7" w:rsidRPr="008E18BF" w:rsidRDefault="00997EB7" w:rsidP="002B2751">
      <w:pPr>
        <w:rPr>
          <w:u w:val="single"/>
          <w:lang w:val="en-US"/>
        </w:rPr>
      </w:pPr>
      <w:r w:rsidRPr="008E18BF">
        <w:rPr>
          <w:u w:val="single"/>
          <w:lang w:val="en-US"/>
        </w:rPr>
        <w:t>Environmental or social characteristics of the financial product</w:t>
      </w:r>
    </w:p>
    <w:p w14:paraId="58CCA90B" w14:textId="68215687" w:rsidR="008E18BF" w:rsidRDefault="008E18BF" w:rsidP="002B2751">
      <w:pPr>
        <w:rPr>
          <w:lang w:val="en-US"/>
        </w:rPr>
      </w:pPr>
      <w:r w:rsidRPr="008E18BF">
        <w:rPr>
          <w:lang w:val="en-US"/>
        </w:rPr>
        <w:t xml:space="preserve">The </w:t>
      </w:r>
      <w:r>
        <w:rPr>
          <w:lang w:val="en-US"/>
        </w:rPr>
        <w:t xml:space="preserve">Fund seeks </w:t>
      </w:r>
      <w:r w:rsidRPr="008E18BF">
        <w:rPr>
          <w:lang w:val="en-US"/>
        </w:rPr>
        <w:t>to promote responsible environmental (E), social (S) and managerial (G) characteristics (ESG) via the total composition of companies.</w:t>
      </w:r>
    </w:p>
    <w:p w14:paraId="21531472" w14:textId="77451D61" w:rsidR="008E18BF" w:rsidRPr="008E18BF" w:rsidRDefault="008E18BF" w:rsidP="008E18BF">
      <w:pPr>
        <w:rPr>
          <w:lang w:val="en-US"/>
        </w:rPr>
      </w:pPr>
      <w:r w:rsidRPr="008E18BF">
        <w:rPr>
          <w:lang w:val="en-US"/>
        </w:rPr>
        <w:t xml:space="preserve">The </w:t>
      </w:r>
      <w:r>
        <w:rPr>
          <w:lang w:val="en-US"/>
        </w:rPr>
        <w:t>Fund’s</w:t>
      </w:r>
      <w:r w:rsidRPr="008E18BF">
        <w:rPr>
          <w:lang w:val="en-US"/>
        </w:rPr>
        <w:t xml:space="preserve"> ESG characteristics are promoted by:</w:t>
      </w:r>
    </w:p>
    <w:p w14:paraId="0B442F5C" w14:textId="5613DF9B" w:rsidR="008E18BF" w:rsidRPr="000D42C5" w:rsidRDefault="0069432F" w:rsidP="000D42C5">
      <w:pPr>
        <w:pStyle w:val="ListParagraph"/>
        <w:numPr>
          <w:ilvl w:val="0"/>
          <w:numId w:val="2"/>
        </w:numPr>
        <w:rPr>
          <w:lang w:val="en-US"/>
        </w:rPr>
      </w:pPr>
      <w:r>
        <w:rPr>
          <w:lang w:val="en-US"/>
        </w:rPr>
        <w:t>E</w:t>
      </w:r>
      <w:r w:rsidR="008E18BF" w:rsidRPr="000D42C5">
        <w:rPr>
          <w:lang w:val="en-US"/>
        </w:rPr>
        <w:t xml:space="preserve">nsuring that long investments comply with international norms and </w:t>
      </w:r>
      <w:proofErr w:type="gramStart"/>
      <w:r w:rsidR="008E18BF" w:rsidRPr="000D42C5">
        <w:rPr>
          <w:lang w:val="en-US"/>
        </w:rPr>
        <w:t>standards</w:t>
      </w:r>
      <w:proofErr w:type="gramEnd"/>
    </w:p>
    <w:p w14:paraId="51D99D02" w14:textId="740F8239" w:rsidR="008E18BF" w:rsidRPr="000D42C5" w:rsidRDefault="0069432F" w:rsidP="000D42C5">
      <w:pPr>
        <w:pStyle w:val="ListParagraph"/>
        <w:numPr>
          <w:ilvl w:val="0"/>
          <w:numId w:val="2"/>
        </w:numPr>
        <w:rPr>
          <w:lang w:val="en-US"/>
        </w:rPr>
      </w:pPr>
      <w:r>
        <w:rPr>
          <w:lang w:val="en-US"/>
        </w:rPr>
        <w:t>P</w:t>
      </w:r>
      <w:r w:rsidR="008E18BF" w:rsidRPr="000D42C5">
        <w:rPr>
          <w:lang w:val="en-US"/>
        </w:rPr>
        <w:t>romoting an</w:t>
      </w:r>
      <w:r w:rsidR="0035165C">
        <w:rPr>
          <w:lang w:val="en-US"/>
        </w:rPr>
        <w:t>d</w:t>
      </w:r>
      <w:r w:rsidR="008E18BF" w:rsidRPr="000D42C5">
        <w:rPr>
          <w:lang w:val="en-US"/>
        </w:rPr>
        <w:t xml:space="preserve"> increasing social, environmental and </w:t>
      </w:r>
      <w:r w:rsidR="00644825">
        <w:rPr>
          <w:lang w:val="en-US"/>
        </w:rPr>
        <w:t>governance</w:t>
      </w:r>
      <w:r w:rsidR="008E18BF" w:rsidRPr="000D42C5">
        <w:rPr>
          <w:lang w:val="en-US"/>
        </w:rPr>
        <w:t xml:space="preserve"> -level through the formal engagements exercised in relation to violations of international norms and </w:t>
      </w:r>
      <w:proofErr w:type="gramStart"/>
      <w:r w:rsidR="008E18BF" w:rsidRPr="000D42C5">
        <w:rPr>
          <w:lang w:val="en-US"/>
        </w:rPr>
        <w:t>standards</w:t>
      </w:r>
      <w:proofErr w:type="gramEnd"/>
    </w:p>
    <w:p w14:paraId="24694599" w14:textId="363E4977" w:rsidR="008E18BF" w:rsidRPr="000D42C5" w:rsidRDefault="0069432F" w:rsidP="000D42C5">
      <w:pPr>
        <w:pStyle w:val="ListParagraph"/>
        <w:numPr>
          <w:ilvl w:val="0"/>
          <w:numId w:val="2"/>
        </w:numPr>
        <w:rPr>
          <w:lang w:val="en-US"/>
        </w:rPr>
      </w:pPr>
      <w:r>
        <w:rPr>
          <w:lang w:val="en-US"/>
        </w:rPr>
        <w:t>P</w:t>
      </w:r>
      <w:r w:rsidR="008E18BF" w:rsidRPr="000D42C5">
        <w:rPr>
          <w:lang w:val="en-US"/>
        </w:rPr>
        <w:t>romot</w:t>
      </w:r>
      <w:r w:rsidR="00991791" w:rsidRPr="000D42C5">
        <w:rPr>
          <w:lang w:val="en-US"/>
        </w:rPr>
        <w:t>ing</w:t>
      </w:r>
      <w:r w:rsidR="008E18BF" w:rsidRPr="000D42C5">
        <w:rPr>
          <w:lang w:val="en-US"/>
        </w:rPr>
        <w:t xml:space="preserve"> </w:t>
      </w:r>
      <w:r w:rsidR="00833A85">
        <w:rPr>
          <w:lang w:val="en-US"/>
        </w:rPr>
        <w:t>a baseline for</w:t>
      </w:r>
      <w:r w:rsidR="00922360">
        <w:rPr>
          <w:lang w:val="en-US"/>
        </w:rPr>
        <w:t xml:space="preserve"> </w:t>
      </w:r>
      <w:r w:rsidR="008E18BF" w:rsidRPr="000D42C5">
        <w:rPr>
          <w:lang w:val="en-US"/>
        </w:rPr>
        <w:t xml:space="preserve">social and environmental characteristics </w:t>
      </w:r>
      <w:r w:rsidR="005D1FAC">
        <w:rPr>
          <w:lang w:val="en-US"/>
        </w:rPr>
        <w:t>through</w:t>
      </w:r>
      <w:r w:rsidR="00991791" w:rsidRPr="000D42C5">
        <w:rPr>
          <w:lang w:val="en-US"/>
        </w:rPr>
        <w:t xml:space="preserve"> the </w:t>
      </w:r>
      <w:r w:rsidR="008E18BF" w:rsidRPr="000D42C5">
        <w:rPr>
          <w:lang w:val="en-US"/>
        </w:rPr>
        <w:t xml:space="preserve">exclusion </w:t>
      </w:r>
      <w:r w:rsidR="005D1FAC" w:rsidRPr="000D42C5">
        <w:rPr>
          <w:lang w:val="en-US"/>
        </w:rPr>
        <w:t>criteria</w:t>
      </w:r>
      <w:r w:rsidR="00991791" w:rsidRPr="000D42C5">
        <w:rPr>
          <w:lang w:val="en-US"/>
        </w:rPr>
        <w:t xml:space="preserve"> </w:t>
      </w:r>
      <w:r w:rsidR="008E18BF" w:rsidRPr="000D42C5">
        <w:rPr>
          <w:lang w:val="en-US"/>
        </w:rPr>
        <w:t xml:space="preserve">linked to the </w:t>
      </w:r>
      <w:r w:rsidR="00991791" w:rsidRPr="000D42C5">
        <w:rPr>
          <w:lang w:val="en-US"/>
        </w:rPr>
        <w:t>Fund’s thematic</w:t>
      </w:r>
      <w:r w:rsidR="008E18BF" w:rsidRPr="000D42C5">
        <w:rPr>
          <w:lang w:val="en-US"/>
        </w:rPr>
        <w:t xml:space="preserve"> and product-based screening (controversial weapons, tobacco, spirits, oil, gambling, etc.), </w:t>
      </w:r>
      <w:r w:rsidR="009B0287">
        <w:rPr>
          <w:lang w:val="en-US"/>
        </w:rPr>
        <w:t xml:space="preserve">and </w:t>
      </w:r>
      <w:r w:rsidR="008E18BF" w:rsidRPr="000D42C5">
        <w:rPr>
          <w:lang w:val="en-US"/>
        </w:rPr>
        <w:t xml:space="preserve">which </w:t>
      </w:r>
      <w:r w:rsidR="00991791" w:rsidRPr="000D42C5">
        <w:rPr>
          <w:lang w:val="en-US"/>
        </w:rPr>
        <w:t>encompass</w:t>
      </w:r>
      <w:r w:rsidR="009B0287">
        <w:rPr>
          <w:lang w:val="en-US"/>
        </w:rPr>
        <w:t>es’</w:t>
      </w:r>
      <w:r w:rsidR="008E18BF" w:rsidRPr="000D42C5">
        <w:rPr>
          <w:lang w:val="en-US"/>
        </w:rPr>
        <w:t xml:space="preserve"> the </w:t>
      </w:r>
      <w:r w:rsidR="00991791" w:rsidRPr="000D42C5">
        <w:rPr>
          <w:lang w:val="en-US"/>
        </w:rPr>
        <w:t xml:space="preserve">Fund’s </w:t>
      </w:r>
      <w:r w:rsidR="008E18BF" w:rsidRPr="000D42C5">
        <w:rPr>
          <w:lang w:val="en-US"/>
        </w:rPr>
        <w:t xml:space="preserve">long </w:t>
      </w:r>
      <w:proofErr w:type="gramStart"/>
      <w:r w:rsidR="008E18BF" w:rsidRPr="000D42C5">
        <w:rPr>
          <w:lang w:val="en-US"/>
        </w:rPr>
        <w:t>positions</w:t>
      </w:r>
      <w:proofErr w:type="gramEnd"/>
    </w:p>
    <w:p w14:paraId="4C7BEC11" w14:textId="62195F5A" w:rsidR="00991791" w:rsidRPr="000D42C5" w:rsidRDefault="00991791" w:rsidP="000D42C5">
      <w:pPr>
        <w:pStyle w:val="ListParagraph"/>
        <w:numPr>
          <w:ilvl w:val="0"/>
          <w:numId w:val="2"/>
        </w:numPr>
        <w:rPr>
          <w:lang w:val="en-US"/>
        </w:rPr>
      </w:pPr>
      <w:r w:rsidRPr="000D42C5">
        <w:rPr>
          <w:lang w:val="en-US"/>
        </w:rPr>
        <w:t>Increasing the Fund’s avera</w:t>
      </w:r>
      <w:r w:rsidR="00524B3A" w:rsidRPr="000D42C5">
        <w:rPr>
          <w:lang w:val="en-US"/>
        </w:rPr>
        <w:t>ge ESG-risk-score for the long positions, over a three-year period</w:t>
      </w:r>
    </w:p>
    <w:p w14:paraId="7E45F148" w14:textId="65B7680D" w:rsidR="00524B3A" w:rsidRPr="000D42C5" w:rsidRDefault="00524B3A" w:rsidP="000D42C5">
      <w:pPr>
        <w:pStyle w:val="ListParagraph"/>
        <w:numPr>
          <w:ilvl w:val="0"/>
          <w:numId w:val="2"/>
        </w:numPr>
        <w:rPr>
          <w:lang w:val="en-US"/>
        </w:rPr>
      </w:pPr>
      <w:r w:rsidRPr="000D42C5">
        <w:rPr>
          <w:lang w:val="en-US"/>
        </w:rPr>
        <w:t>Increasing the Fund’s average ESG-impact-score for the long positions, over a three-year period</w:t>
      </w:r>
    </w:p>
    <w:p w14:paraId="62015FC5" w14:textId="351F2347" w:rsidR="008E18BF" w:rsidRDefault="003B468E" w:rsidP="000D42C5">
      <w:pPr>
        <w:pStyle w:val="ListParagraph"/>
        <w:numPr>
          <w:ilvl w:val="0"/>
          <w:numId w:val="2"/>
        </w:numPr>
        <w:rPr>
          <w:lang w:val="en-US"/>
        </w:rPr>
      </w:pPr>
      <w:r>
        <w:rPr>
          <w:lang w:val="en-US"/>
        </w:rPr>
        <w:lastRenderedPageBreak/>
        <w:t>T</w:t>
      </w:r>
      <w:r w:rsidR="008E18BF" w:rsidRPr="000D42C5">
        <w:rPr>
          <w:lang w:val="en-US"/>
        </w:rPr>
        <w:t xml:space="preserve">he </w:t>
      </w:r>
      <w:r w:rsidR="00524B3A" w:rsidRPr="000D42C5">
        <w:rPr>
          <w:lang w:val="en-US"/>
        </w:rPr>
        <w:t>Fund’s</w:t>
      </w:r>
      <w:r w:rsidR="008E18BF" w:rsidRPr="000D42C5">
        <w:rPr>
          <w:lang w:val="en-US"/>
        </w:rPr>
        <w:t xml:space="preserve"> ESG risk </w:t>
      </w:r>
      <w:proofErr w:type="gramStart"/>
      <w:r w:rsidR="009B6869">
        <w:rPr>
          <w:lang w:val="en-US"/>
        </w:rPr>
        <w:t xml:space="preserve">assessment, that </w:t>
      </w:r>
      <w:r w:rsidR="00D27135">
        <w:rPr>
          <w:lang w:val="en-US"/>
        </w:rPr>
        <w:t>assess</w:t>
      </w:r>
      <w:proofErr w:type="gramEnd"/>
      <w:r w:rsidR="00D27135">
        <w:rPr>
          <w:lang w:val="en-US"/>
        </w:rPr>
        <w:t xml:space="preserve"> </w:t>
      </w:r>
      <w:r w:rsidR="008E18BF" w:rsidRPr="000D42C5">
        <w:rPr>
          <w:lang w:val="en-US"/>
        </w:rPr>
        <w:t>the companies in the portfolio, and limits investments in long positions with an elevated ESG risk profile</w:t>
      </w:r>
      <w:r w:rsidR="00E53D94">
        <w:rPr>
          <w:lang w:val="en-US"/>
        </w:rPr>
        <w:t>.</w:t>
      </w:r>
    </w:p>
    <w:p w14:paraId="536F5091" w14:textId="39B24702" w:rsidR="000D42C5" w:rsidRPr="000D42C5" w:rsidRDefault="0010475D" w:rsidP="000D42C5">
      <w:pPr>
        <w:rPr>
          <w:lang w:val="en-US"/>
        </w:rPr>
      </w:pPr>
      <w:r>
        <w:rPr>
          <w:lang w:val="en-US"/>
        </w:rPr>
        <w:t xml:space="preserve">Principal adverse impact is considered for </w:t>
      </w:r>
      <w:r w:rsidR="000D42C5" w:rsidRPr="000D42C5">
        <w:rPr>
          <w:lang w:val="en-US"/>
        </w:rPr>
        <w:t xml:space="preserve">the </w:t>
      </w:r>
      <w:r w:rsidR="000D42C5">
        <w:rPr>
          <w:lang w:val="en-US"/>
        </w:rPr>
        <w:t>Fund’s</w:t>
      </w:r>
      <w:r w:rsidR="000D42C5" w:rsidRPr="000D42C5">
        <w:rPr>
          <w:lang w:val="en-US"/>
        </w:rPr>
        <w:t xml:space="preserve"> long positions</w:t>
      </w:r>
      <w:r w:rsidR="00184418">
        <w:rPr>
          <w:lang w:val="en-US"/>
        </w:rPr>
        <w:t xml:space="preserve">. The Fund </w:t>
      </w:r>
      <w:r>
        <w:rPr>
          <w:lang w:val="en-US"/>
        </w:rPr>
        <w:t>conduct</w:t>
      </w:r>
      <w:r w:rsidR="00184418">
        <w:rPr>
          <w:lang w:val="en-US"/>
        </w:rPr>
        <w:t>s</w:t>
      </w:r>
      <w:r>
        <w:rPr>
          <w:lang w:val="en-US"/>
        </w:rPr>
        <w:t xml:space="preserve"> </w:t>
      </w:r>
      <w:r w:rsidR="000D42C5" w:rsidRPr="000D42C5">
        <w:rPr>
          <w:lang w:val="en-US"/>
        </w:rPr>
        <w:t>an ongoing screening and assessment</w:t>
      </w:r>
      <w:r>
        <w:rPr>
          <w:lang w:val="en-US"/>
        </w:rPr>
        <w:t xml:space="preserve"> </w:t>
      </w:r>
      <w:r w:rsidR="005E349A">
        <w:rPr>
          <w:lang w:val="en-US"/>
        </w:rPr>
        <w:t>of</w:t>
      </w:r>
      <w:r>
        <w:rPr>
          <w:lang w:val="en-US"/>
        </w:rPr>
        <w:t xml:space="preserve"> portfolio</w:t>
      </w:r>
      <w:r w:rsidR="000D42C5" w:rsidRPr="000D42C5">
        <w:rPr>
          <w:lang w:val="en-US"/>
        </w:rPr>
        <w:t xml:space="preserve"> companies </w:t>
      </w:r>
      <w:r>
        <w:rPr>
          <w:lang w:val="en-US"/>
        </w:rPr>
        <w:t xml:space="preserve">that </w:t>
      </w:r>
      <w:r w:rsidR="000D42C5" w:rsidRPr="000D42C5">
        <w:rPr>
          <w:lang w:val="en-US"/>
        </w:rPr>
        <w:t xml:space="preserve">have a negative impact on their surroundings based on the fourteen mandatory and the two </w:t>
      </w:r>
      <w:r>
        <w:rPr>
          <w:lang w:val="en-US"/>
        </w:rPr>
        <w:t>additional</w:t>
      </w:r>
      <w:r w:rsidR="000D42C5" w:rsidRPr="000D42C5">
        <w:rPr>
          <w:lang w:val="en-US"/>
        </w:rPr>
        <w:t xml:space="preserve"> </w:t>
      </w:r>
      <w:r w:rsidR="005E349A">
        <w:rPr>
          <w:lang w:val="en-US"/>
        </w:rPr>
        <w:t>principal adverse</w:t>
      </w:r>
      <w:r w:rsidR="000D42C5" w:rsidRPr="000D42C5">
        <w:rPr>
          <w:lang w:val="en-US"/>
        </w:rPr>
        <w:t xml:space="preserve"> </w:t>
      </w:r>
      <w:r w:rsidR="005E349A">
        <w:rPr>
          <w:lang w:val="en-US"/>
        </w:rPr>
        <w:t>indicators</w:t>
      </w:r>
      <w:r w:rsidR="000D42C5" w:rsidRPr="000D42C5">
        <w:rPr>
          <w:lang w:val="en-US"/>
        </w:rPr>
        <w:t>.</w:t>
      </w:r>
    </w:p>
    <w:p w14:paraId="7072A111" w14:textId="3A166A7C" w:rsidR="000D42C5" w:rsidRPr="000D42C5" w:rsidRDefault="000D42C5" w:rsidP="000D42C5">
      <w:pPr>
        <w:rPr>
          <w:lang w:val="en-US"/>
        </w:rPr>
      </w:pPr>
      <w:r w:rsidRPr="000D42C5">
        <w:rPr>
          <w:lang w:val="en-US"/>
        </w:rPr>
        <w:t xml:space="preserve">The </w:t>
      </w:r>
      <w:r w:rsidR="00D048D1">
        <w:rPr>
          <w:lang w:val="en-US"/>
        </w:rPr>
        <w:t xml:space="preserve">additional principal adverse indicators </w:t>
      </w:r>
      <w:r w:rsidRPr="000D42C5">
        <w:rPr>
          <w:lang w:val="en-US"/>
        </w:rPr>
        <w:t>are the environment-related No. 4: Investment in companies without CO2 reduction initiatives; and the corruption-related No. 15: Lack of anti-corruption and anti-bribery policies.</w:t>
      </w:r>
    </w:p>
    <w:p w14:paraId="09135B4E" w14:textId="6020ACED" w:rsidR="000D42C5" w:rsidRDefault="000D42C5" w:rsidP="000D42C5">
      <w:pPr>
        <w:rPr>
          <w:lang w:val="en-US"/>
        </w:rPr>
      </w:pPr>
      <w:r w:rsidRPr="000D42C5">
        <w:rPr>
          <w:lang w:val="en-US"/>
        </w:rPr>
        <w:t xml:space="preserve">The </w:t>
      </w:r>
      <w:r w:rsidR="00D048D1">
        <w:rPr>
          <w:lang w:val="en-US"/>
        </w:rPr>
        <w:t>indicators</w:t>
      </w:r>
      <w:r w:rsidRPr="000D42C5">
        <w:rPr>
          <w:lang w:val="en-US"/>
        </w:rPr>
        <w:t xml:space="preserve"> are assessed individually and collectively.</w:t>
      </w:r>
    </w:p>
    <w:p w14:paraId="47B3AFCF" w14:textId="77777777" w:rsidR="001A594A" w:rsidRDefault="001A594A" w:rsidP="000D42C5">
      <w:pPr>
        <w:rPr>
          <w:lang w:val="en-US"/>
        </w:rPr>
      </w:pPr>
    </w:p>
    <w:p w14:paraId="08437E5E" w14:textId="2DE20090" w:rsidR="00D048D1" w:rsidRPr="00D048D1" w:rsidRDefault="00D048D1" w:rsidP="000D42C5">
      <w:pPr>
        <w:rPr>
          <w:u w:val="single"/>
          <w:lang w:val="en-US"/>
        </w:rPr>
      </w:pPr>
      <w:r w:rsidRPr="00D048D1">
        <w:rPr>
          <w:u w:val="single"/>
          <w:lang w:val="en-US"/>
        </w:rPr>
        <w:t>Investment strategy</w:t>
      </w:r>
    </w:p>
    <w:p w14:paraId="015FEBF6" w14:textId="0EDD30EE" w:rsidR="00D048D1" w:rsidRPr="00D048D1" w:rsidRDefault="001036F2" w:rsidP="00D048D1">
      <w:pPr>
        <w:rPr>
          <w:lang w:val="en-US"/>
        </w:rPr>
      </w:pPr>
      <w:r>
        <w:rPr>
          <w:lang w:val="en-US"/>
        </w:rPr>
        <w:t xml:space="preserve">ESG screening is an integral part of the investment process, as described in the Fund’s: (i) Responsible Investment Process, as well as (ii) Sustainability Indicator evaluation. </w:t>
      </w:r>
      <w:r w:rsidR="00D048D1" w:rsidRPr="00D048D1">
        <w:rPr>
          <w:lang w:val="en-US"/>
        </w:rPr>
        <w:t xml:space="preserve">The process includes an assessment of the level of good governance </w:t>
      </w:r>
      <w:r w:rsidR="00D048D1">
        <w:rPr>
          <w:lang w:val="en-US"/>
        </w:rPr>
        <w:t>for each company</w:t>
      </w:r>
      <w:r w:rsidR="00D048D1" w:rsidRPr="00D048D1">
        <w:rPr>
          <w:lang w:val="en-US"/>
        </w:rPr>
        <w:t xml:space="preserve">. </w:t>
      </w:r>
      <w:r w:rsidR="001F1B67">
        <w:rPr>
          <w:lang w:val="en-US"/>
        </w:rPr>
        <w:t>Moreover,</w:t>
      </w:r>
      <w:r w:rsidR="00615D35">
        <w:rPr>
          <w:lang w:val="en-US"/>
        </w:rPr>
        <w:t xml:space="preserve"> t</w:t>
      </w:r>
      <w:r w:rsidR="00D048D1" w:rsidRPr="00D048D1">
        <w:rPr>
          <w:lang w:val="en-US"/>
        </w:rPr>
        <w:t xml:space="preserve">he </w:t>
      </w:r>
      <w:r w:rsidR="00D048D1">
        <w:rPr>
          <w:lang w:val="en-US"/>
        </w:rPr>
        <w:t>Fund</w:t>
      </w:r>
      <w:r w:rsidR="00D048D1" w:rsidRPr="00D048D1">
        <w:rPr>
          <w:lang w:val="en-US"/>
        </w:rPr>
        <w:t xml:space="preserve"> </w:t>
      </w:r>
      <w:r w:rsidR="00444414">
        <w:rPr>
          <w:lang w:val="en-US"/>
        </w:rPr>
        <w:t>takes principal adverse impa</w:t>
      </w:r>
      <w:r w:rsidR="00CE04ED">
        <w:rPr>
          <w:lang w:val="en-US"/>
        </w:rPr>
        <w:t>c</w:t>
      </w:r>
      <w:r w:rsidR="00444414">
        <w:rPr>
          <w:lang w:val="en-US"/>
        </w:rPr>
        <w:t xml:space="preserve">t into </w:t>
      </w:r>
      <w:r w:rsidR="003B468E">
        <w:rPr>
          <w:lang w:val="en-US"/>
        </w:rPr>
        <w:t>consideration</w:t>
      </w:r>
      <w:r w:rsidR="00444414">
        <w:rPr>
          <w:lang w:val="en-US"/>
        </w:rPr>
        <w:t xml:space="preserve">, and can choose to divest companies </w:t>
      </w:r>
      <w:r w:rsidR="00D85F42">
        <w:rPr>
          <w:lang w:val="en-US"/>
        </w:rPr>
        <w:t>with a principal adverse impact</w:t>
      </w:r>
      <w:r w:rsidR="00BE4CD8">
        <w:rPr>
          <w:lang w:val="en-US"/>
        </w:rPr>
        <w:t xml:space="preserve"> or with negative impact on the Fund’s ESG characteristics. </w:t>
      </w:r>
    </w:p>
    <w:p w14:paraId="523C5713" w14:textId="69C1A44B" w:rsidR="00D048D1" w:rsidRDefault="00D048D1" w:rsidP="00D048D1">
      <w:pPr>
        <w:rPr>
          <w:lang w:val="en-US"/>
        </w:rPr>
      </w:pPr>
      <w:r w:rsidRPr="00D048D1">
        <w:rPr>
          <w:lang w:val="en-US"/>
        </w:rPr>
        <w:t xml:space="preserve">Before </w:t>
      </w:r>
      <w:r w:rsidR="00715C3D">
        <w:rPr>
          <w:lang w:val="en-US"/>
        </w:rPr>
        <w:t xml:space="preserve">divesting </w:t>
      </w:r>
      <w:r w:rsidRPr="00D048D1">
        <w:rPr>
          <w:lang w:val="en-US"/>
        </w:rPr>
        <w:t xml:space="preserve">a long position, </w:t>
      </w:r>
      <w:r w:rsidR="00634581">
        <w:rPr>
          <w:lang w:val="en-US"/>
        </w:rPr>
        <w:t xml:space="preserve">due to </w:t>
      </w:r>
      <w:r w:rsidRPr="00D048D1">
        <w:rPr>
          <w:lang w:val="en-US"/>
        </w:rPr>
        <w:t xml:space="preserve">poor ESG characteristics, a qualitative analysis is carried out </w:t>
      </w:r>
      <w:r w:rsidR="00715C3D" w:rsidRPr="00D048D1">
        <w:rPr>
          <w:lang w:val="en-US"/>
        </w:rPr>
        <w:t>to</w:t>
      </w:r>
      <w:r w:rsidRPr="00D048D1">
        <w:rPr>
          <w:lang w:val="en-US"/>
        </w:rPr>
        <w:t xml:space="preserve"> assess whether the company has a realistic and sustainable ESG strategy going forward.</w:t>
      </w:r>
    </w:p>
    <w:p w14:paraId="56185525" w14:textId="55F9626A" w:rsidR="00715C3D" w:rsidRPr="00715C3D" w:rsidRDefault="00715C3D" w:rsidP="00715C3D">
      <w:pPr>
        <w:rPr>
          <w:lang w:val="en-US"/>
        </w:rPr>
      </w:pPr>
      <w:r w:rsidRPr="00715C3D">
        <w:rPr>
          <w:lang w:val="en-US"/>
        </w:rPr>
        <w:t xml:space="preserve">It is part of the </w:t>
      </w:r>
      <w:r>
        <w:rPr>
          <w:lang w:val="en-US"/>
        </w:rPr>
        <w:t>Fund’s</w:t>
      </w:r>
      <w:r w:rsidRPr="00715C3D">
        <w:rPr>
          <w:lang w:val="en-US"/>
        </w:rPr>
        <w:t xml:space="preserve"> strategy</w:t>
      </w:r>
      <w:r>
        <w:rPr>
          <w:lang w:val="en-US"/>
        </w:rPr>
        <w:t>,</w:t>
      </w:r>
      <w:r w:rsidRPr="00715C3D">
        <w:rPr>
          <w:lang w:val="en-US"/>
        </w:rPr>
        <w:t xml:space="preserve"> to reduce activities that have a negative impact on the sustainability indicators</w:t>
      </w:r>
      <w:r>
        <w:rPr>
          <w:lang w:val="en-US"/>
        </w:rPr>
        <w:t>,</w:t>
      </w:r>
      <w:r w:rsidRPr="00715C3D">
        <w:rPr>
          <w:lang w:val="en-US"/>
        </w:rPr>
        <w:t xml:space="preserve"> that the </w:t>
      </w:r>
      <w:r>
        <w:rPr>
          <w:lang w:val="en-US"/>
        </w:rPr>
        <w:t xml:space="preserve">portfolio’s </w:t>
      </w:r>
      <w:r w:rsidRPr="00715C3D">
        <w:rPr>
          <w:lang w:val="en-US"/>
        </w:rPr>
        <w:t xml:space="preserve">long legs </w:t>
      </w:r>
      <w:r w:rsidR="00DC0E3A">
        <w:rPr>
          <w:lang w:val="en-US"/>
        </w:rPr>
        <w:t>refrain</w:t>
      </w:r>
      <w:r>
        <w:rPr>
          <w:lang w:val="en-US"/>
        </w:rPr>
        <w:t xml:space="preserve"> from </w:t>
      </w:r>
      <w:r w:rsidRPr="00715C3D">
        <w:rPr>
          <w:lang w:val="en-US"/>
        </w:rPr>
        <w:t>investments in:</w:t>
      </w:r>
    </w:p>
    <w:p w14:paraId="7E8755DD" w14:textId="77777777" w:rsidR="00715C3D" w:rsidRPr="00715C3D" w:rsidRDefault="00715C3D" w:rsidP="00715C3D">
      <w:pPr>
        <w:rPr>
          <w:lang w:val="en-US"/>
        </w:rPr>
      </w:pPr>
      <w:r w:rsidRPr="00715C3D">
        <w:rPr>
          <w:lang w:val="en-US"/>
        </w:rPr>
        <w:t>1. Companies that violate widely adopted and ratified international legislation such as:</w:t>
      </w:r>
    </w:p>
    <w:p w14:paraId="28F5EEEE" w14:textId="3A4CB1FD" w:rsidR="00715C3D" w:rsidRPr="00715C3D" w:rsidRDefault="00715C3D" w:rsidP="00715C3D">
      <w:pPr>
        <w:rPr>
          <w:lang w:val="en-US"/>
        </w:rPr>
      </w:pPr>
      <w:r w:rsidRPr="00715C3D">
        <w:rPr>
          <w:lang w:val="en-US"/>
        </w:rPr>
        <w:t>• UN Global Compact</w:t>
      </w:r>
    </w:p>
    <w:p w14:paraId="7DDBECCF" w14:textId="2B55098F" w:rsidR="00715C3D" w:rsidRPr="00715C3D" w:rsidRDefault="00715C3D" w:rsidP="00715C3D">
      <w:pPr>
        <w:rPr>
          <w:lang w:val="en-US"/>
        </w:rPr>
      </w:pPr>
      <w:r w:rsidRPr="00715C3D">
        <w:rPr>
          <w:lang w:val="en-US"/>
        </w:rPr>
        <w:t>• OECD guidelines for multinational companies</w:t>
      </w:r>
    </w:p>
    <w:p w14:paraId="7918C4EC" w14:textId="785C73D6" w:rsidR="00715C3D" w:rsidRPr="00715C3D" w:rsidRDefault="00715C3D" w:rsidP="00715C3D">
      <w:pPr>
        <w:rPr>
          <w:lang w:val="en-US"/>
        </w:rPr>
      </w:pPr>
      <w:r w:rsidRPr="00715C3D">
        <w:rPr>
          <w:lang w:val="en-US"/>
        </w:rPr>
        <w:t>• UN declaration for human rights</w:t>
      </w:r>
    </w:p>
    <w:p w14:paraId="46477829" w14:textId="0DD4BE20" w:rsidR="00715C3D" w:rsidRPr="00715C3D" w:rsidRDefault="00715C3D" w:rsidP="00715C3D">
      <w:pPr>
        <w:rPr>
          <w:lang w:val="en-US"/>
        </w:rPr>
      </w:pPr>
      <w:r w:rsidRPr="00715C3D">
        <w:rPr>
          <w:lang w:val="en-US"/>
        </w:rPr>
        <w:t>• ILO conventions for labor rights</w:t>
      </w:r>
    </w:p>
    <w:p w14:paraId="07A423FD" w14:textId="648E2274" w:rsidR="00715C3D" w:rsidRDefault="00715C3D" w:rsidP="00715C3D">
      <w:pPr>
        <w:rPr>
          <w:lang w:val="en-US"/>
        </w:rPr>
      </w:pPr>
      <w:r w:rsidRPr="00715C3D">
        <w:rPr>
          <w:lang w:val="en-US"/>
        </w:rPr>
        <w:t xml:space="preserve">2. </w:t>
      </w:r>
      <w:r w:rsidR="00CC2B34" w:rsidRPr="00715C3D">
        <w:rPr>
          <w:lang w:val="en-US"/>
        </w:rPr>
        <w:t>Companie</w:t>
      </w:r>
      <w:r w:rsidR="00CC2B34">
        <w:rPr>
          <w:lang w:val="en-US"/>
        </w:rPr>
        <w:t>s</w:t>
      </w:r>
      <w:r w:rsidRPr="00715C3D">
        <w:rPr>
          <w:lang w:val="en-US"/>
        </w:rPr>
        <w:t xml:space="preserve"> that produce tobacco and companies that produce, </w:t>
      </w:r>
      <w:r w:rsidR="00DC0E3A" w:rsidRPr="00715C3D">
        <w:rPr>
          <w:lang w:val="en-US"/>
        </w:rPr>
        <w:t>distribute,</w:t>
      </w:r>
      <w:r w:rsidRPr="00715C3D">
        <w:rPr>
          <w:lang w:val="en-US"/>
        </w:rPr>
        <w:t xml:space="preserve"> or promote pornography.</w:t>
      </w:r>
    </w:p>
    <w:p w14:paraId="3680322F" w14:textId="77777777" w:rsidR="00DC0E3A" w:rsidRPr="00DC0E3A" w:rsidRDefault="00DC0E3A" w:rsidP="00DC0E3A">
      <w:pPr>
        <w:rPr>
          <w:lang w:val="en-US"/>
        </w:rPr>
      </w:pPr>
      <w:r w:rsidRPr="00DC0E3A">
        <w:rPr>
          <w:lang w:val="en-US"/>
        </w:rPr>
        <w:t>3. Companies that:</w:t>
      </w:r>
    </w:p>
    <w:p w14:paraId="6F120AF1" w14:textId="1980AC3B" w:rsidR="00DC0E3A" w:rsidRPr="00DC0E3A" w:rsidRDefault="00DB139E" w:rsidP="00DC0E3A">
      <w:pPr>
        <w:pStyle w:val="ListParagraph"/>
        <w:numPr>
          <w:ilvl w:val="0"/>
          <w:numId w:val="3"/>
        </w:numPr>
        <w:rPr>
          <w:lang w:val="en-US"/>
        </w:rPr>
      </w:pPr>
      <w:r>
        <w:rPr>
          <w:lang w:val="en-US"/>
        </w:rPr>
        <w:t>P</w:t>
      </w:r>
      <w:r w:rsidR="00DC0E3A" w:rsidRPr="00DC0E3A">
        <w:rPr>
          <w:lang w:val="en-US"/>
        </w:rPr>
        <w:t xml:space="preserve">roduce alcohol if they do not have a policy for responsible marketing, </w:t>
      </w:r>
      <w:proofErr w:type="gramStart"/>
      <w:r w:rsidR="00DC0E3A" w:rsidRPr="00DC0E3A">
        <w:rPr>
          <w:lang w:val="en-US"/>
        </w:rPr>
        <w:t>sale</w:t>
      </w:r>
      <w:proofErr w:type="gramEnd"/>
      <w:r w:rsidR="00DC0E3A" w:rsidRPr="00DC0E3A">
        <w:rPr>
          <w:lang w:val="en-US"/>
        </w:rPr>
        <w:t xml:space="preserve"> and use of alcohol</w:t>
      </w:r>
      <w:r>
        <w:rPr>
          <w:lang w:val="en-US"/>
        </w:rPr>
        <w:t>,</w:t>
      </w:r>
    </w:p>
    <w:p w14:paraId="223A9F89" w14:textId="410C84F2" w:rsidR="00DC0E3A" w:rsidRPr="00DC0E3A" w:rsidRDefault="006C5F8A" w:rsidP="00DC0E3A">
      <w:pPr>
        <w:pStyle w:val="ListParagraph"/>
        <w:numPr>
          <w:ilvl w:val="0"/>
          <w:numId w:val="3"/>
        </w:numPr>
        <w:rPr>
          <w:lang w:val="en-US"/>
        </w:rPr>
      </w:pPr>
      <w:r>
        <w:rPr>
          <w:lang w:val="en-US"/>
        </w:rPr>
        <w:t>Provides g</w:t>
      </w:r>
      <w:r w:rsidR="00DC0E3A" w:rsidRPr="00DC0E3A">
        <w:rPr>
          <w:lang w:val="en-US"/>
        </w:rPr>
        <w:t>ambling</w:t>
      </w:r>
      <w:r>
        <w:rPr>
          <w:lang w:val="en-US"/>
        </w:rPr>
        <w:t>,</w:t>
      </w:r>
      <w:r w:rsidR="00DC0E3A" w:rsidRPr="00DC0E3A">
        <w:rPr>
          <w:lang w:val="en-US"/>
        </w:rPr>
        <w:t xml:space="preserve"> </w:t>
      </w:r>
      <w:r>
        <w:rPr>
          <w:lang w:val="en-US"/>
        </w:rPr>
        <w:t>but</w:t>
      </w:r>
      <w:r w:rsidR="00DC0E3A" w:rsidRPr="00DC0E3A">
        <w:rPr>
          <w:lang w:val="en-US"/>
        </w:rPr>
        <w:t xml:space="preserve"> without policies that address the personal and societal problems that arise as a result of </w:t>
      </w:r>
      <w:proofErr w:type="gramStart"/>
      <w:r w:rsidR="00DC0E3A" w:rsidRPr="00DC0E3A">
        <w:rPr>
          <w:lang w:val="en-US"/>
        </w:rPr>
        <w:t>gambling</w:t>
      </w:r>
      <w:proofErr w:type="gramEnd"/>
    </w:p>
    <w:p w14:paraId="3E071878" w14:textId="24571338" w:rsidR="00DC0E3A" w:rsidRPr="00DC0E3A" w:rsidRDefault="006D786B" w:rsidP="00DC0E3A">
      <w:pPr>
        <w:pStyle w:val="ListParagraph"/>
        <w:numPr>
          <w:ilvl w:val="0"/>
          <w:numId w:val="3"/>
        </w:numPr>
        <w:rPr>
          <w:lang w:val="en-US"/>
        </w:rPr>
      </w:pPr>
      <w:r>
        <w:rPr>
          <w:lang w:val="en-US"/>
        </w:rPr>
        <w:t>P</w:t>
      </w:r>
      <w:r w:rsidR="00DC0E3A" w:rsidRPr="00DC0E3A">
        <w:rPr>
          <w:lang w:val="en-US"/>
        </w:rPr>
        <w:t xml:space="preserve">roduce cannabis for recreational </w:t>
      </w:r>
      <w:proofErr w:type="gramStart"/>
      <w:r w:rsidR="00DC0E3A" w:rsidRPr="00DC0E3A">
        <w:rPr>
          <w:lang w:val="en-US"/>
        </w:rPr>
        <w:t>use</w:t>
      </w:r>
      <w:proofErr w:type="gramEnd"/>
    </w:p>
    <w:p w14:paraId="31429B4C" w14:textId="02576222" w:rsidR="00DC0E3A" w:rsidRPr="00DC0E3A" w:rsidRDefault="006D786B" w:rsidP="00DC0E3A">
      <w:pPr>
        <w:pStyle w:val="ListParagraph"/>
        <w:numPr>
          <w:ilvl w:val="0"/>
          <w:numId w:val="3"/>
        </w:numPr>
        <w:rPr>
          <w:lang w:val="en-US"/>
        </w:rPr>
      </w:pPr>
      <w:r>
        <w:rPr>
          <w:lang w:val="en-US"/>
        </w:rPr>
        <w:t>P</w:t>
      </w:r>
      <w:r w:rsidR="00DC0E3A" w:rsidRPr="00DC0E3A">
        <w:rPr>
          <w:lang w:val="en-US"/>
        </w:rPr>
        <w:t>roduce</w:t>
      </w:r>
      <w:r>
        <w:rPr>
          <w:lang w:val="en-US"/>
        </w:rPr>
        <w:t xml:space="preserve"> coal and </w:t>
      </w:r>
      <w:r w:rsidR="00DC0E3A" w:rsidRPr="00DC0E3A">
        <w:rPr>
          <w:lang w:val="en-US"/>
        </w:rPr>
        <w:t xml:space="preserve">derive more than 10% of their revenue from thermal coal and 30% from other </w:t>
      </w:r>
      <w:r w:rsidR="00DC0E3A">
        <w:rPr>
          <w:lang w:val="en-US"/>
        </w:rPr>
        <w:t xml:space="preserve">types of </w:t>
      </w:r>
      <w:r w:rsidR="00DC0E3A" w:rsidRPr="00DC0E3A">
        <w:rPr>
          <w:lang w:val="en-US"/>
        </w:rPr>
        <w:t>coal</w:t>
      </w:r>
      <w:r w:rsidR="00DC0E3A">
        <w:rPr>
          <w:lang w:val="en-US"/>
        </w:rPr>
        <w:t xml:space="preserve"> </w:t>
      </w:r>
      <w:proofErr w:type="gramStart"/>
      <w:r w:rsidR="00DC0E3A">
        <w:rPr>
          <w:lang w:val="en-US"/>
        </w:rPr>
        <w:t>production</w:t>
      </w:r>
      <w:proofErr w:type="gramEnd"/>
    </w:p>
    <w:p w14:paraId="634C7512" w14:textId="7C7048B9" w:rsidR="00DC0E3A" w:rsidRPr="00DC0E3A" w:rsidRDefault="006D741E" w:rsidP="00DC0E3A">
      <w:pPr>
        <w:pStyle w:val="ListParagraph"/>
        <w:numPr>
          <w:ilvl w:val="0"/>
          <w:numId w:val="3"/>
        </w:numPr>
        <w:rPr>
          <w:lang w:val="en-US"/>
        </w:rPr>
      </w:pPr>
      <w:r>
        <w:rPr>
          <w:lang w:val="en-US"/>
        </w:rPr>
        <w:t>P</w:t>
      </w:r>
      <w:r w:rsidR="00DC0E3A" w:rsidRPr="00DC0E3A">
        <w:rPr>
          <w:lang w:val="en-US"/>
        </w:rPr>
        <w:t>roduce</w:t>
      </w:r>
      <w:r>
        <w:rPr>
          <w:lang w:val="en-US"/>
        </w:rPr>
        <w:t xml:space="preserve"> oil </w:t>
      </w:r>
      <w:r w:rsidR="00633348">
        <w:rPr>
          <w:lang w:val="en-US"/>
        </w:rPr>
        <w:t xml:space="preserve">with </w:t>
      </w:r>
      <w:r w:rsidR="00DC0E3A" w:rsidRPr="00DC0E3A">
        <w:rPr>
          <w:lang w:val="en-US"/>
        </w:rPr>
        <w:t>revenue</w:t>
      </w:r>
      <w:r w:rsidR="00490B6E">
        <w:rPr>
          <w:lang w:val="en-US"/>
        </w:rPr>
        <w:t>s</w:t>
      </w:r>
      <w:r w:rsidR="00DC0E3A" w:rsidRPr="00DC0E3A">
        <w:rPr>
          <w:lang w:val="en-US"/>
        </w:rPr>
        <w:t xml:space="preserve"> from oil sands</w:t>
      </w:r>
      <w:r w:rsidR="00500DE0">
        <w:rPr>
          <w:lang w:val="en-US"/>
        </w:rPr>
        <w:t xml:space="preserve"> or </w:t>
      </w:r>
      <w:r w:rsidR="00DC0E3A" w:rsidRPr="00DC0E3A">
        <w:rPr>
          <w:lang w:val="en-US"/>
        </w:rPr>
        <w:t>shale oil</w:t>
      </w:r>
      <w:r w:rsidR="007F7D5B">
        <w:rPr>
          <w:lang w:val="en-US"/>
        </w:rPr>
        <w:t>/</w:t>
      </w:r>
      <w:r w:rsidR="00DC0E3A" w:rsidRPr="00DC0E3A">
        <w:rPr>
          <w:lang w:val="en-US"/>
        </w:rPr>
        <w:t xml:space="preserve">gas </w:t>
      </w:r>
      <w:r w:rsidR="00490B6E">
        <w:rPr>
          <w:lang w:val="en-US"/>
        </w:rPr>
        <w:t xml:space="preserve">that </w:t>
      </w:r>
      <w:r w:rsidR="00DC0E3A" w:rsidRPr="00DC0E3A">
        <w:rPr>
          <w:lang w:val="en-US"/>
        </w:rPr>
        <w:t xml:space="preserve">exceeds 10% and 5% from Arctic oil fields. Unless they have a valid transitions strategy that is in line with the Paris Agreement's </w:t>
      </w:r>
      <w:r w:rsidR="00490B6E" w:rsidRPr="00DC0E3A">
        <w:rPr>
          <w:lang w:val="en-US"/>
        </w:rPr>
        <w:t>2-degree</w:t>
      </w:r>
      <w:r w:rsidR="00DC0E3A" w:rsidRPr="00DC0E3A">
        <w:rPr>
          <w:lang w:val="en-US"/>
        </w:rPr>
        <w:t xml:space="preserve"> objective</w:t>
      </w:r>
    </w:p>
    <w:p w14:paraId="073411CD" w14:textId="54AD7496" w:rsidR="00DC0E3A" w:rsidRPr="00DC0E3A" w:rsidRDefault="007F7D5B" w:rsidP="00DC0E3A">
      <w:pPr>
        <w:pStyle w:val="ListParagraph"/>
        <w:numPr>
          <w:ilvl w:val="0"/>
          <w:numId w:val="3"/>
        </w:numPr>
        <w:rPr>
          <w:lang w:val="en-US"/>
        </w:rPr>
      </w:pPr>
      <w:r>
        <w:rPr>
          <w:lang w:val="en-US"/>
        </w:rPr>
        <w:lastRenderedPageBreak/>
        <w:t>P</w:t>
      </w:r>
      <w:r w:rsidR="00DC0E3A" w:rsidRPr="00DC0E3A">
        <w:rPr>
          <w:lang w:val="en-US"/>
        </w:rPr>
        <w:t xml:space="preserve">ose a significant risk to biodiversity, but do not have a transparent and sustainable plan to manage </w:t>
      </w:r>
      <w:r w:rsidR="00490B6E">
        <w:rPr>
          <w:lang w:val="en-US"/>
        </w:rPr>
        <w:t>these</w:t>
      </w:r>
      <w:r w:rsidR="00DC0E3A" w:rsidRPr="00DC0E3A">
        <w:rPr>
          <w:lang w:val="en-US"/>
        </w:rPr>
        <w:t xml:space="preserve"> </w:t>
      </w:r>
      <w:proofErr w:type="gramStart"/>
      <w:r w:rsidR="00DC0E3A" w:rsidRPr="00DC0E3A">
        <w:rPr>
          <w:lang w:val="en-US"/>
        </w:rPr>
        <w:t>risks</w:t>
      </w:r>
      <w:proofErr w:type="gramEnd"/>
    </w:p>
    <w:p w14:paraId="739BAC47" w14:textId="4238A18B" w:rsidR="00DC0E3A" w:rsidRPr="00DC0E3A" w:rsidRDefault="00BA6092" w:rsidP="00DC0E3A">
      <w:pPr>
        <w:pStyle w:val="ListParagraph"/>
        <w:numPr>
          <w:ilvl w:val="0"/>
          <w:numId w:val="3"/>
        </w:numPr>
        <w:rPr>
          <w:lang w:val="en-US"/>
        </w:rPr>
      </w:pPr>
      <w:r>
        <w:rPr>
          <w:lang w:val="en-US"/>
        </w:rPr>
        <w:t>A</w:t>
      </w:r>
      <w:r w:rsidR="00DC0E3A" w:rsidRPr="00DC0E3A">
        <w:rPr>
          <w:lang w:val="en-US"/>
        </w:rPr>
        <w:t xml:space="preserve">re commercially involved in wood-related products and that </w:t>
      </w:r>
      <w:r w:rsidR="00490B6E">
        <w:rPr>
          <w:lang w:val="en-US"/>
        </w:rPr>
        <w:t>are without c</w:t>
      </w:r>
      <w:r w:rsidR="00DC0E3A" w:rsidRPr="00DC0E3A">
        <w:rPr>
          <w:lang w:val="en-US"/>
        </w:rPr>
        <w:t xml:space="preserve">lear strategies and management structures that clearly articulate the management and board responsibilities </w:t>
      </w:r>
      <w:r w:rsidR="00267063">
        <w:rPr>
          <w:lang w:val="en-US"/>
        </w:rPr>
        <w:t>with regards to</w:t>
      </w:r>
      <w:r w:rsidR="00DC0E3A" w:rsidRPr="00DC0E3A">
        <w:rPr>
          <w:lang w:val="en-US"/>
        </w:rPr>
        <w:t xml:space="preserve"> combating deforestation</w:t>
      </w:r>
    </w:p>
    <w:p w14:paraId="7E44C2C7" w14:textId="72421A2A" w:rsidR="00DC0E3A" w:rsidRDefault="00BA6092" w:rsidP="00DC0E3A">
      <w:pPr>
        <w:pStyle w:val="ListParagraph"/>
        <w:numPr>
          <w:ilvl w:val="0"/>
          <w:numId w:val="3"/>
        </w:numPr>
        <w:rPr>
          <w:lang w:val="en-US"/>
        </w:rPr>
      </w:pPr>
      <w:r>
        <w:rPr>
          <w:lang w:val="en-US"/>
        </w:rPr>
        <w:t>W</w:t>
      </w:r>
      <w:r w:rsidR="00DC0E3A" w:rsidRPr="00DC0E3A">
        <w:rPr>
          <w:lang w:val="en-US"/>
        </w:rPr>
        <w:t xml:space="preserve">here water is an indispensable part of their production, but </w:t>
      </w:r>
      <w:r w:rsidR="00267063">
        <w:rPr>
          <w:lang w:val="en-US"/>
        </w:rPr>
        <w:t>that</w:t>
      </w:r>
      <w:r w:rsidR="00DC0E3A" w:rsidRPr="00DC0E3A">
        <w:rPr>
          <w:lang w:val="en-US"/>
        </w:rPr>
        <w:t xml:space="preserve"> do not have a clear and sustainable strategy for managing the risks associated with t</w:t>
      </w:r>
      <w:r w:rsidR="00267063">
        <w:rPr>
          <w:lang w:val="en-US"/>
        </w:rPr>
        <w:t>hat water</w:t>
      </w:r>
      <w:r w:rsidR="00DC0E3A" w:rsidRPr="00DC0E3A">
        <w:rPr>
          <w:lang w:val="en-US"/>
        </w:rPr>
        <w:t xml:space="preserve"> </w:t>
      </w:r>
      <w:r w:rsidR="00E53D94" w:rsidRPr="00DC0E3A">
        <w:rPr>
          <w:lang w:val="en-US"/>
        </w:rPr>
        <w:t>consumption.</w:t>
      </w:r>
    </w:p>
    <w:p w14:paraId="68007F44" w14:textId="506CA191" w:rsidR="00267063" w:rsidRPr="00267063" w:rsidRDefault="00267063" w:rsidP="00267063">
      <w:pPr>
        <w:rPr>
          <w:lang w:val="en-US"/>
        </w:rPr>
      </w:pPr>
      <w:r w:rsidRPr="00267063">
        <w:rPr>
          <w:lang w:val="en-US"/>
        </w:rPr>
        <w:t xml:space="preserve">The </w:t>
      </w:r>
      <w:r>
        <w:rPr>
          <w:lang w:val="en-US"/>
        </w:rPr>
        <w:t>Fund</w:t>
      </w:r>
      <w:r w:rsidRPr="00267063">
        <w:rPr>
          <w:lang w:val="en-US"/>
        </w:rPr>
        <w:t xml:space="preserve"> exercises active ownership via direct dialogue with the companies during the investment process. The dialogue can contribute to identifying issues that may challenge the </w:t>
      </w:r>
      <w:r>
        <w:rPr>
          <w:lang w:val="en-US"/>
        </w:rPr>
        <w:t>Funds</w:t>
      </w:r>
      <w:r w:rsidRPr="00267063">
        <w:rPr>
          <w:lang w:val="en-US"/>
        </w:rPr>
        <w:t xml:space="preserve"> ESG characteristics.</w:t>
      </w:r>
    </w:p>
    <w:p w14:paraId="2B91AD72" w14:textId="4B197AE9" w:rsidR="00267063" w:rsidRDefault="00267063" w:rsidP="00267063">
      <w:pPr>
        <w:rPr>
          <w:lang w:val="en-US"/>
        </w:rPr>
      </w:pPr>
      <w:r w:rsidRPr="00267063">
        <w:rPr>
          <w:lang w:val="en-US"/>
        </w:rPr>
        <w:t xml:space="preserve">The </w:t>
      </w:r>
      <w:r>
        <w:rPr>
          <w:lang w:val="en-US"/>
        </w:rPr>
        <w:t>Fund’s</w:t>
      </w:r>
      <w:r w:rsidRPr="00267063">
        <w:rPr>
          <w:lang w:val="en-US"/>
        </w:rPr>
        <w:t xml:space="preserve"> investment adviser has a </w:t>
      </w:r>
      <w:r w:rsidR="00D57EB8">
        <w:rPr>
          <w:lang w:val="en-US"/>
        </w:rPr>
        <w:t>multifaceted</w:t>
      </w:r>
      <w:r w:rsidRPr="00267063">
        <w:rPr>
          <w:lang w:val="en-US"/>
        </w:rPr>
        <w:t xml:space="preserve"> ESG</w:t>
      </w:r>
      <w:r>
        <w:rPr>
          <w:lang w:val="en-US"/>
        </w:rPr>
        <w:t xml:space="preserve"> </w:t>
      </w:r>
      <w:r w:rsidRPr="00267063">
        <w:rPr>
          <w:lang w:val="en-US"/>
        </w:rPr>
        <w:t xml:space="preserve">screening process to ensure that the </w:t>
      </w:r>
      <w:r w:rsidR="005238EF">
        <w:rPr>
          <w:lang w:val="en-US"/>
        </w:rPr>
        <w:t xml:space="preserve">total sum of </w:t>
      </w:r>
      <w:r w:rsidR="00E85181">
        <w:rPr>
          <w:lang w:val="en-US"/>
        </w:rPr>
        <w:t xml:space="preserve">long positioned </w:t>
      </w:r>
      <w:r w:rsidRPr="00267063">
        <w:rPr>
          <w:lang w:val="en-US"/>
        </w:rPr>
        <w:t>companies promote</w:t>
      </w:r>
      <w:r>
        <w:rPr>
          <w:lang w:val="en-US"/>
        </w:rPr>
        <w:t>s</w:t>
      </w:r>
      <w:r w:rsidRPr="00267063">
        <w:rPr>
          <w:lang w:val="en-US"/>
        </w:rPr>
        <w:t xml:space="preserve"> the </w:t>
      </w:r>
      <w:r w:rsidR="00E85181">
        <w:rPr>
          <w:lang w:val="en-US"/>
        </w:rPr>
        <w:t>Fund’s</w:t>
      </w:r>
      <w:r w:rsidRPr="00267063">
        <w:rPr>
          <w:lang w:val="en-US"/>
        </w:rPr>
        <w:t xml:space="preserve"> ESG characteristics.</w:t>
      </w:r>
    </w:p>
    <w:p w14:paraId="45603F41" w14:textId="77777777" w:rsidR="00267063" w:rsidRPr="00267063" w:rsidRDefault="00267063" w:rsidP="00267063">
      <w:pPr>
        <w:rPr>
          <w:lang w:val="en-US"/>
        </w:rPr>
      </w:pPr>
      <w:r w:rsidRPr="00267063">
        <w:rPr>
          <w:lang w:val="en-US"/>
        </w:rPr>
        <w:t>The binding elements are that:</w:t>
      </w:r>
    </w:p>
    <w:p w14:paraId="18677296" w14:textId="7ADB9E9B" w:rsidR="00267063" w:rsidRPr="00267063" w:rsidRDefault="00BF0165" w:rsidP="00267063">
      <w:pPr>
        <w:pStyle w:val="ListParagraph"/>
        <w:numPr>
          <w:ilvl w:val="0"/>
          <w:numId w:val="4"/>
        </w:numPr>
        <w:rPr>
          <w:lang w:val="en-US"/>
        </w:rPr>
      </w:pPr>
      <w:r>
        <w:rPr>
          <w:lang w:val="en-US"/>
        </w:rPr>
        <w:t>T</w:t>
      </w:r>
      <w:r w:rsidR="00267063" w:rsidRPr="00267063">
        <w:rPr>
          <w:lang w:val="en-US"/>
        </w:rPr>
        <w:t xml:space="preserve">he </w:t>
      </w:r>
      <w:r w:rsidR="00267063">
        <w:rPr>
          <w:lang w:val="en-US"/>
        </w:rPr>
        <w:t>Fund</w:t>
      </w:r>
      <w:r w:rsidR="00267063" w:rsidRPr="00267063">
        <w:rPr>
          <w:lang w:val="en-US"/>
        </w:rPr>
        <w:t xml:space="preserve"> excludes companies that violate the international norms and standards that the </w:t>
      </w:r>
      <w:r w:rsidR="00267063">
        <w:rPr>
          <w:lang w:val="en-US"/>
        </w:rPr>
        <w:t>Fund</w:t>
      </w:r>
      <w:r w:rsidR="00267063" w:rsidRPr="00267063">
        <w:rPr>
          <w:lang w:val="en-US"/>
        </w:rPr>
        <w:t xml:space="preserve"> has </w:t>
      </w:r>
      <w:r w:rsidR="00267063">
        <w:rPr>
          <w:lang w:val="en-US"/>
        </w:rPr>
        <w:t>committed</w:t>
      </w:r>
      <w:r w:rsidR="00267063" w:rsidRPr="00267063">
        <w:rPr>
          <w:lang w:val="en-US"/>
        </w:rPr>
        <w:t xml:space="preserve"> to follow in its Responsible Investment Policy (applies to</w:t>
      </w:r>
      <w:r w:rsidR="00267063">
        <w:rPr>
          <w:lang w:val="en-US"/>
        </w:rPr>
        <w:t xml:space="preserve"> all</w:t>
      </w:r>
      <w:r w:rsidR="00267063" w:rsidRPr="00267063">
        <w:rPr>
          <w:lang w:val="en-US"/>
        </w:rPr>
        <w:t xml:space="preserve"> long positions)</w:t>
      </w:r>
    </w:p>
    <w:p w14:paraId="53A3B364" w14:textId="01DF2F8F" w:rsidR="00267063" w:rsidRPr="00267063" w:rsidRDefault="00213638" w:rsidP="00267063">
      <w:pPr>
        <w:pStyle w:val="ListParagraph"/>
        <w:numPr>
          <w:ilvl w:val="0"/>
          <w:numId w:val="4"/>
        </w:numPr>
        <w:rPr>
          <w:lang w:val="en-US"/>
        </w:rPr>
      </w:pPr>
      <w:r>
        <w:rPr>
          <w:lang w:val="en-US"/>
        </w:rPr>
        <w:t>T</w:t>
      </w:r>
      <w:r w:rsidR="00267063" w:rsidRPr="00267063">
        <w:rPr>
          <w:lang w:val="en-US"/>
        </w:rPr>
        <w:t xml:space="preserve">he </w:t>
      </w:r>
      <w:r w:rsidR="00267063">
        <w:rPr>
          <w:lang w:val="en-US"/>
        </w:rPr>
        <w:t>Fund</w:t>
      </w:r>
      <w:r w:rsidR="00267063" w:rsidRPr="00267063">
        <w:rPr>
          <w:lang w:val="en-US"/>
        </w:rPr>
        <w:t xml:space="preserve"> excludes all companies that violate the </w:t>
      </w:r>
      <w:r w:rsidR="00267063">
        <w:rPr>
          <w:lang w:val="en-US"/>
        </w:rPr>
        <w:t>Fund’s</w:t>
      </w:r>
      <w:r w:rsidR="00267063" w:rsidRPr="00267063">
        <w:rPr>
          <w:lang w:val="en-US"/>
        </w:rPr>
        <w:t xml:space="preserve"> thematic and product based ESG positions (applies to</w:t>
      </w:r>
      <w:r w:rsidR="00267063">
        <w:rPr>
          <w:lang w:val="en-US"/>
        </w:rPr>
        <w:t xml:space="preserve"> all</w:t>
      </w:r>
      <w:r w:rsidR="00267063" w:rsidRPr="00267063">
        <w:rPr>
          <w:lang w:val="en-US"/>
        </w:rPr>
        <w:t xml:space="preserve"> long positions)</w:t>
      </w:r>
    </w:p>
    <w:p w14:paraId="4A25E76F" w14:textId="69258D60" w:rsidR="00267063" w:rsidRPr="00267063" w:rsidRDefault="00AE21D9" w:rsidP="00267063">
      <w:pPr>
        <w:pStyle w:val="ListParagraph"/>
        <w:numPr>
          <w:ilvl w:val="0"/>
          <w:numId w:val="4"/>
        </w:numPr>
        <w:rPr>
          <w:lang w:val="en-US"/>
        </w:rPr>
      </w:pPr>
      <w:r>
        <w:rPr>
          <w:lang w:val="en-US"/>
        </w:rPr>
        <w:t>A</w:t>
      </w:r>
      <w:r w:rsidR="00267063" w:rsidRPr="00267063">
        <w:rPr>
          <w:lang w:val="en-US"/>
        </w:rPr>
        <w:t xml:space="preserve">ctive ownership is exercised via ongoing dialogue with the companies and formal </w:t>
      </w:r>
      <w:r w:rsidR="00267063">
        <w:rPr>
          <w:lang w:val="en-US"/>
        </w:rPr>
        <w:t>engagement</w:t>
      </w:r>
      <w:r w:rsidR="00267063" w:rsidRPr="00267063">
        <w:rPr>
          <w:lang w:val="en-US"/>
        </w:rPr>
        <w:t xml:space="preserve"> is made in </w:t>
      </w:r>
      <w:r w:rsidR="00A234FF">
        <w:rPr>
          <w:lang w:val="en-US"/>
        </w:rPr>
        <w:t xml:space="preserve">case </w:t>
      </w:r>
      <w:r w:rsidR="00267063" w:rsidRPr="00267063">
        <w:rPr>
          <w:lang w:val="en-US"/>
        </w:rPr>
        <w:t>international norms</w:t>
      </w:r>
      <w:r w:rsidR="00A234FF">
        <w:rPr>
          <w:lang w:val="en-US"/>
        </w:rPr>
        <w:t xml:space="preserve"> are </w:t>
      </w:r>
      <w:proofErr w:type="gramStart"/>
      <w:r w:rsidR="00A234FF">
        <w:rPr>
          <w:lang w:val="en-US"/>
        </w:rPr>
        <w:t>breached</w:t>
      </w:r>
      <w:proofErr w:type="gramEnd"/>
    </w:p>
    <w:p w14:paraId="2B2C5A94" w14:textId="7D8BF0FB" w:rsidR="00267063" w:rsidRPr="00267063" w:rsidRDefault="00AE21D9" w:rsidP="00267063">
      <w:pPr>
        <w:pStyle w:val="ListParagraph"/>
        <w:numPr>
          <w:ilvl w:val="0"/>
          <w:numId w:val="4"/>
        </w:numPr>
        <w:rPr>
          <w:lang w:val="en-US"/>
        </w:rPr>
      </w:pPr>
      <w:r>
        <w:rPr>
          <w:lang w:val="en-US"/>
        </w:rPr>
        <w:t>T</w:t>
      </w:r>
      <w:r w:rsidR="00267063" w:rsidRPr="00267063">
        <w:rPr>
          <w:lang w:val="en-US"/>
        </w:rPr>
        <w:t xml:space="preserve">he </w:t>
      </w:r>
      <w:r w:rsidR="00A234FF">
        <w:rPr>
          <w:lang w:val="en-US"/>
        </w:rPr>
        <w:t>Fund</w:t>
      </w:r>
      <w:r w:rsidR="00267063" w:rsidRPr="00267063">
        <w:rPr>
          <w:lang w:val="en-US"/>
        </w:rPr>
        <w:t xml:space="preserve"> </w:t>
      </w:r>
      <w:r w:rsidR="00A234FF">
        <w:rPr>
          <w:lang w:val="en-US"/>
        </w:rPr>
        <w:t xml:space="preserve">primarily </w:t>
      </w:r>
      <w:r w:rsidR="00267063" w:rsidRPr="00267063">
        <w:rPr>
          <w:lang w:val="en-US"/>
        </w:rPr>
        <w:t xml:space="preserve">follows SEB's recommendations for proxy </w:t>
      </w:r>
      <w:proofErr w:type="gramStart"/>
      <w:r w:rsidR="00267063" w:rsidRPr="00267063">
        <w:rPr>
          <w:lang w:val="en-US"/>
        </w:rPr>
        <w:t>voting</w:t>
      </w:r>
      <w:proofErr w:type="gramEnd"/>
      <w:r w:rsidR="00A234FF">
        <w:rPr>
          <w:lang w:val="en-US"/>
        </w:rPr>
        <w:t xml:space="preserve"> </w:t>
      </w:r>
    </w:p>
    <w:p w14:paraId="5F9B9DA8" w14:textId="70C858B6" w:rsidR="00267063" w:rsidRPr="00267063" w:rsidRDefault="00AE21D9" w:rsidP="00267063">
      <w:pPr>
        <w:pStyle w:val="ListParagraph"/>
        <w:numPr>
          <w:ilvl w:val="0"/>
          <w:numId w:val="4"/>
        </w:numPr>
        <w:rPr>
          <w:lang w:val="en-US"/>
        </w:rPr>
      </w:pPr>
      <w:r>
        <w:rPr>
          <w:lang w:val="en-US"/>
        </w:rPr>
        <w:t>T</w:t>
      </w:r>
      <w:r w:rsidR="00267063" w:rsidRPr="00267063">
        <w:rPr>
          <w:lang w:val="en-US"/>
        </w:rPr>
        <w:t xml:space="preserve">he </w:t>
      </w:r>
      <w:r w:rsidR="00A234FF">
        <w:rPr>
          <w:lang w:val="en-US"/>
        </w:rPr>
        <w:t>Fund’s</w:t>
      </w:r>
      <w:r w:rsidR="00267063" w:rsidRPr="00267063">
        <w:rPr>
          <w:lang w:val="en-US"/>
        </w:rPr>
        <w:t xml:space="preserve"> average ESG</w:t>
      </w:r>
      <w:r w:rsidR="00A234FF">
        <w:rPr>
          <w:lang w:val="en-US"/>
        </w:rPr>
        <w:t>-</w:t>
      </w:r>
      <w:r w:rsidR="00267063" w:rsidRPr="00267063">
        <w:rPr>
          <w:lang w:val="en-US"/>
        </w:rPr>
        <w:t>risk</w:t>
      </w:r>
      <w:r w:rsidR="00A234FF">
        <w:rPr>
          <w:lang w:val="en-US"/>
        </w:rPr>
        <w:t>-</w:t>
      </w:r>
      <w:r w:rsidR="00267063" w:rsidRPr="00267063">
        <w:rPr>
          <w:lang w:val="en-US"/>
        </w:rPr>
        <w:t>score increases continuously/over a three-year period (applies to</w:t>
      </w:r>
      <w:r w:rsidR="00140AD6">
        <w:rPr>
          <w:lang w:val="en-US"/>
        </w:rPr>
        <w:t xml:space="preserve"> the</w:t>
      </w:r>
      <w:r w:rsidR="00267063" w:rsidRPr="00267063">
        <w:rPr>
          <w:lang w:val="en-US"/>
        </w:rPr>
        <w:t xml:space="preserve"> long positions)</w:t>
      </w:r>
    </w:p>
    <w:p w14:paraId="6FFC1137" w14:textId="0CF154C1" w:rsidR="00267063" w:rsidRPr="00267063" w:rsidRDefault="00AE21D9" w:rsidP="00267063">
      <w:pPr>
        <w:pStyle w:val="ListParagraph"/>
        <w:numPr>
          <w:ilvl w:val="0"/>
          <w:numId w:val="4"/>
        </w:numPr>
        <w:rPr>
          <w:lang w:val="en-US"/>
        </w:rPr>
      </w:pPr>
      <w:r>
        <w:rPr>
          <w:lang w:val="en-US"/>
        </w:rPr>
        <w:t>T</w:t>
      </w:r>
      <w:r w:rsidR="00267063" w:rsidRPr="00267063">
        <w:rPr>
          <w:lang w:val="en-US"/>
        </w:rPr>
        <w:t xml:space="preserve">he </w:t>
      </w:r>
      <w:r w:rsidR="0016603C">
        <w:rPr>
          <w:lang w:val="en-US"/>
        </w:rPr>
        <w:t>Fund’s</w:t>
      </w:r>
      <w:r w:rsidR="00267063" w:rsidRPr="00267063">
        <w:rPr>
          <w:lang w:val="en-US"/>
        </w:rPr>
        <w:t xml:space="preserve"> average ESG</w:t>
      </w:r>
      <w:r w:rsidR="0016603C">
        <w:rPr>
          <w:lang w:val="en-US"/>
        </w:rPr>
        <w:t>-</w:t>
      </w:r>
      <w:r w:rsidR="00267063" w:rsidRPr="00267063">
        <w:rPr>
          <w:lang w:val="en-US"/>
        </w:rPr>
        <w:t>impact</w:t>
      </w:r>
      <w:r w:rsidR="0016603C">
        <w:rPr>
          <w:lang w:val="en-US"/>
        </w:rPr>
        <w:t>-</w:t>
      </w:r>
      <w:r w:rsidR="00267063" w:rsidRPr="00267063">
        <w:rPr>
          <w:lang w:val="en-US"/>
        </w:rPr>
        <w:t xml:space="preserve">score increases continuously/over a three-year period (applies to </w:t>
      </w:r>
      <w:r w:rsidR="00140AD6">
        <w:rPr>
          <w:lang w:val="en-US"/>
        </w:rPr>
        <w:t xml:space="preserve">the </w:t>
      </w:r>
      <w:r w:rsidR="00267063" w:rsidRPr="00267063">
        <w:rPr>
          <w:lang w:val="en-US"/>
        </w:rPr>
        <w:t>long positions)</w:t>
      </w:r>
    </w:p>
    <w:p w14:paraId="76032AC6" w14:textId="6CF2AE8C" w:rsidR="00267063" w:rsidRDefault="00AE21D9" w:rsidP="00267063">
      <w:pPr>
        <w:pStyle w:val="ListParagraph"/>
        <w:numPr>
          <w:ilvl w:val="0"/>
          <w:numId w:val="4"/>
        </w:numPr>
        <w:rPr>
          <w:lang w:val="en-US"/>
        </w:rPr>
      </w:pPr>
      <w:r>
        <w:rPr>
          <w:lang w:val="en-US"/>
        </w:rPr>
        <w:t>C</w:t>
      </w:r>
      <w:r w:rsidR="00267063" w:rsidRPr="00267063">
        <w:rPr>
          <w:lang w:val="en-US"/>
        </w:rPr>
        <w:t>ompanies with an ESG</w:t>
      </w:r>
      <w:r w:rsidR="0016603C">
        <w:rPr>
          <w:lang w:val="en-US"/>
        </w:rPr>
        <w:t>-</w:t>
      </w:r>
      <w:r w:rsidR="00267063" w:rsidRPr="00267063">
        <w:rPr>
          <w:lang w:val="en-US"/>
        </w:rPr>
        <w:t>risk</w:t>
      </w:r>
      <w:r w:rsidR="0016603C">
        <w:rPr>
          <w:lang w:val="en-US"/>
        </w:rPr>
        <w:t>-</w:t>
      </w:r>
      <w:r w:rsidR="00267063" w:rsidRPr="00267063">
        <w:rPr>
          <w:lang w:val="en-US"/>
        </w:rPr>
        <w:t xml:space="preserve">score of less than 33, on one or more ESG indicators, </w:t>
      </w:r>
      <w:r w:rsidR="008A639F">
        <w:rPr>
          <w:lang w:val="en-US"/>
        </w:rPr>
        <w:t xml:space="preserve">may be divested from the </w:t>
      </w:r>
      <w:r w:rsidR="00267063" w:rsidRPr="00267063">
        <w:rPr>
          <w:lang w:val="en-US"/>
        </w:rPr>
        <w:t xml:space="preserve">portfolio. Before a divestment, the low-scoring indicators and the company as </w:t>
      </w:r>
      <w:r w:rsidR="008D6842">
        <w:rPr>
          <w:lang w:val="en-US"/>
        </w:rPr>
        <w:t xml:space="preserve">an entity are </w:t>
      </w:r>
      <w:r w:rsidR="008D6842" w:rsidRPr="00267063">
        <w:rPr>
          <w:lang w:val="en-US"/>
        </w:rPr>
        <w:t>analyzed</w:t>
      </w:r>
      <w:r w:rsidR="00267063" w:rsidRPr="00267063">
        <w:rPr>
          <w:lang w:val="en-US"/>
        </w:rPr>
        <w:t xml:space="preserve">. The analysis focuses on significant financial ESG </w:t>
      </w:r>
      <w:r w:rsidR="00EA2EB3" w:rsidRPr="00267063">
        <w:rPr>
          <w:lang w:val="en-US"/>
        </w:rPr>
        <w:t>risks and</w:t>
      </w:r>
      <w:r w:rsidR="00267063" w:rsidRPr="00267063">
        <w:rPr>
          <w:lang w:val="en-US"/>
        </w:rPr>
        <w:t xml:space="preserve"> </w:t>
      </w:r>
      <w:r w:rsidR="007E54E4" w:rsidRPr="00267063">
        <w:rPr>
          <w:lang w:val="en-US"/>
        </w:rPr>
        <w:t>considers</w:t>
      </w:r>
      <w:r w:rsidR="00267063" w:rsidRPr="00267063">
        <w:rPr>
          <w:lang w:val="en-US"/>
        </w:rPr>
        <w:t xml:space="preserve"> whether the company has a realistic and sustainable ESG strategy going forward (applies to </w:t>
      </w:r>
      <w:r w:rsidR="008D6842">
        <w:rPr>
          <w:lang w:val="en-US"/>
        </w:rPr>
        <w:t xml:space="preserve">the </w:t>
      </w:r>
      <w:r w:rsidR="00267063" w:rsidRPr="00267063">
        <w:rPr>
          <w:lang w:val="en-US"/>
        </w:rPr>
        <w:t>long positions)</w:t>
      </w:r>
      <w:r w:rsidR="00E53D94">
        <w:rPr>
          <w:lang w:val="en-US"/>
        </w:rPr>
        <w:t>.</w:t>
      </w:r>
    </w:p>
    <w:p w14:paraId="6A6A6BBA" w14:textId="367B14CA" w:rsidR="0063435B" w:rsidRDefault="004D5328" w:rsidP="0063435B">
      <w:pPr>
        <w:rPr>
          <w:lang w:val="en-US"/>
        </w:rPr>
      </w:pPr>
      <w:r w:rsidRPr="001A594A">
        <w:rPr>
          <w:lang w:val="en-US"/>
        </w:rPr>
        <w:t>A focus on g</w:t>
      </w:r>
      <w:r w:rsidR="007C2FB2" w:rsidRPr="001A594A">
        <w:rPr>
          <w:lang w:val="en-US"/>
        </w:rPr>
        <w:t xml:space="preserve">ood </w:t>
      </w:r>
      <w:r w:rsidR="00EA266E" w:rsidRPr="001A594A">
        <w:rPr>
          <w:lang w:val="en-US"/>
        </w:rPr>
        <w:t>governance</w:t>
      </w:r>
      <w:r w:rsidR="007C2FB2" w:rsidRPr="001A594A">
        <w:rPr>
          <w:lang w:val="en-US"/>
        </w:rPr>
        <w:t xml:space="preserve"> practice is an important </w:t>
      </w:r>
      <w:r w:rsidR="00BB32DE" w:rsidRPr="001A594A">
        <w:rPr>
          <w:lang w:val="en-US"/>
        </w:rPr>
        <w:t>part</w:t>
      </w:r>
      <w:r w:rsidR="007C2FB2" w:rsidRPr="001A594A">
        <w:rPr>
          <w:lang w:val="en-US"/>
        </w:rPr>
        <w:t xml:space="preserve"> </w:t>
      </w:r>
      <w:r w:rsidR="00DA4011" w:rsidRPr="001A594A">
        <w:rPr>
          <w:lang w:val="en-US"/>
        </w:rPr>
        <w:t>of</w:t>
      </w:r>
      <w:r w:rsidR="007C2FB2" w:rsidRPr="001A594A">
        <w:rPr>
          <w:lang w:val="en-US"/>
        </w:rPr>
        <w:t xml:space="preserve"> the assessment of a company's quality and is an integral part of the </w:t>
      </w:r>
      <w:r w:rsidRPr="001A594A">
        <w:rPr>
          <w:lang w:val="en-US"/>
        </w:rPr>
        <w:t>Fund’s</w:t>
      </w:r>
      <w:r w:rsidR="007C2FB2" w:rsidRPr="001A594A">
        <w:rPr>
          <w:lang w:val="en-US"/>
        </w:rPr>
        <w:t xml:space="preserve"> investment process. St. Petri Capital's Responsible Investment Policy is the starting point</w:t>
      </w:r>
      <w:r w:rsidR="00D840D1" w:rsidRPr="001A594A">
        <w:rPr>
          <w:lang w:val="en-US"/>
        </w:rPr>
        <w:t>,</w:t>
      </w:r>
      <w:r w:rsidR="00AC2B38" w:rsidRPr="001A594A">
        <w:rPr>
          <w:lang w:val="en-US"/>
        </w:rPr>
        <w:t xml:space="preserve"> </w:t>
      </w:r>
      <w:r w:rsidR="00DF1AD2" w:rsidRPr="001A594A">
        <w:rPr>
          <w:lang w:val="en-US"/>
        </w:rPr>
        <w:t xml:space="preserve">and the </w:t>
      </w:r>
      <w:r w:rsidR="00AC2B38" w:rsidRPr="001A594A">
        <w:rPr>
          <w:lang w:val="en-US"/>
        </w:rPr>
        <w:t>assess</w:t>
      </w:r>
      <w:r w:rsidR="005C59E5" w:rsidRPr="001A594A">
        <w:rPr>
          <w:lang w:val="en-US"/>
        </w:rPr>
        <w:t>ment</w:t>
      </w:r>
      <w:r w:rsidR="00E6150A" w:rsidRPr="001A594A">
        <w:rPr>
          <w:lang w:val="en-US"/>
        </w:rPr>
        <w:t xml:space="preserve"> </w:t>
      </w:r>
      <w:r w:rsidR="00B04C43" w:rsidRPr="001A594A">
        <w:rPr>
          <w:lang w:val="en-US"/>
        </w:rPr>
        <w:t>evaluates t</w:t>
      </w:r>
      <w:r w:rsidR="007C2FB2" w:rsidRPr="001A594A">
        <w:rPr>
          <w:lang w:val="en-US"/>
        </w:rPr>
        <w:t xml:space="preserve">he </w:t>
      </w:r>
      <w:r w:rsidR="00E3628C" w:rsidRPr="001A594A">
        <w:rPr>
          <w:lang w:val="en-US"/>
        </w:rPr>
        <w:t>robustness</w:t>
      </w:r>
      <w:r w:rsidR="007C2FB2" w:rsidRPr="001A594A">
        <w:rPr>
          <w:lang w:val="en-US"/>
        </w:rPr>
        <w:t xml:space="preserve"> and potential of the company's business model and strategy, as well as the management's future ability to create value for investors. In addition, employee relations, remuneration practices, management structure and tax matters are screened. In accordance with St. Petri Capital's Engagement Policy, the </w:t>
      </w:r>
      <w:r w:rsidR="00A03A38" w:rsidRPr="001A594A">
        <w:rPr>
          <w:lang w:val="en-US"/>
        </w:rPr>
        <w:t>Fund</w:t>
      </w:r>
      <w:r w:rsidR="007C2FB2" w:rsidRPr="001A594A">
        <w:rPr>
          <w:lang w:val="en-US"/>
        </w:rPr>
        <w:t xml:space="preserve"> can also use dialogue, </w:t>
      </w:r>
      <w:r w:rsidR="00AD204B" w:rsidRPr="001A594A">
        <w:rPr>
          <w:lang w:val="en-US"/>
        </w:rPr>
        <w:t>engagement,</w:t>
      </w:r>
      <w:r w:rsidR="007C2FB2" w:rsidRPr="001A594A">
        <w:rPr>
          <w:lang w:val="en-US"/>
        </w:rPr>
        <w:t xml:space="preserve"> or collaboration with like-minded stakeholders to influence the company's level of good corporate practice.</w:t>
      </w:r>
    </w:p>
    <w:p w14:paraId="4640CF8E" w14:textId="4E6209BA" w:rsidR="00CE4437" w:rsidRPr="00E2117C" w:rsidRDefault="00CE4437" w:rsidP="00CE4437">
      <w:pPr>
        <w:rPr>
          <w:color w:val="FF0000"/>
          <w:lang w:val="en-US"/>
        </w:rPr>
      </w:pPr>
      <w:r w:rsidRPr="00CE4437">
        <w:rPr>
          <w:lang w:val="en-US"/>
        </w:rPr>
        <w:t>The short positions do not negatively affect Fund</w:t>
      </w:r>
      <w:r w:rsidR="00B13745">
        <w:rPr>
          <w:lang w:val="en-US"/>
        </w:rPr>
        <w:t xml:space="preserve">’s </w:t>
      </w:r>
      <w:r w:rsidRPr="00CE4437">
        <w:rPr>
          <w:lang w:val="en-US"/>
        </w:rPr>
        <w:t xml:space="preserve">ESG performance. Read the Department's </w:t>
      </w:r>
      <w:hyperlink r:id="rId9" w:history="1">
        <w:r w:rsidR="0002627C" w:rsidRPr="0002627C">
          <w:rPr>
            <w:rStyle w:val="Hyperlink"/>
            <w:lang w:val="en-US"/>
          </w:rPr>
          <w:t>Shorting Policy</w:t>
        </w:r>
      </w:hyperlink>
      <w:r w:rsidR="0002627C" w:rsidRPr="00016830">
        <w:rPr>
          <w:lang w:val="en-US"/>
        </w:rPr>
        <w:t>.</w:t>
      </w:r>
    </w:p>
    <w:p w14:paraId="3F674524" w14:textId="3C6DC234" w:rsidR="00CE4437" w:rsidRPr="00CE4437" w:rsidRDefault="00CE4437" w:rsidP="00CE4437">
      <w:pPr>
        <w:rPr>
          <w:lang w:val="en-US"/>
        </w:rPr>
      </w:pPr>
      <w:r w:rsidRPr="00CE4437">
        <w:rPr>
          <w:lang w:val="en-US"/>
        </w:rPr>
        <w:t xml:space="preserve">The </w:t>
      </w:r>
      <w:r w:rsidR="00E2117C">
        <w:rPr>
          <w:lang w:val="en-US"/>
        </w:rPr>
        <w:t>Fund</w:t>
      </w:r>
      <w:r w:rsidRPr="00CE4437">
        <w:rPr>
          <w:lang w:val="en-US"/>
        </w:rPr>
        <w:t xml:space="preserve"> uses short positions to:</w:t>
      </w:r>
    </w:p>
    <w:p w14:paraId="77D445A6" w14:textId="73D536B2" w:rsidR="00CE4437" w:rsidRPr="00B92F17" w:rsidRDefault="00D06059" w:rsidP="00B92F17">
      <w:pPr>
        <w:pStyle w:val="ListParagraph"/>
        <w:numPr>
          <w:ilvl w:val="0"/>
          <w:numId w:val="9"/>
        </w:numPr>
        <w:rPr>
          <w:lang w:val="en-US"/>
        </w:rPr>
      </w:pPr>
      <w:r>
        <w:rPr>
          <w:lang w:val="en-US"/>
        </w:rPr>
        <w:t>H</w:t>
      </w:r>
      <w:r w:rsidR="004C7441" w:rsidRPr="00B92F17">
        <w:rPr>
          <w:lang w:val="en-US"/>
        </w:rPr>
        <w:t>edge</w:t>
      </w:r>
      <w:r w:rsidR="00CE4437" w:rsidRPr="00B92F17">
        <w:rPr>
          <w:lang w:val="en-US"/>
        </w:rPr>
        <w:t xml:space="preserve"> against systemic risk</w:t>
      </w:r>
    </w:p>
    <w:p w14:paraId="2580EDC3" w14:textId="0239AED4" w:rsidR="00CE4437" w:rsidRPr="00B92F17" w:rsidRDefault="00D06059" w:rsidP="00B92F17">
      <w:pPr>
        <w:pStyle w:val="ListParagraph"/>
        <w:numPr>
          <w:ilvl w:val="0"/>
          <w:numId w:val="9"/>
        </w:numPr>
        <w:rPr>
          <w:lang w:val="en-US"/>
        </w:rPr>
      </w:pPr>
      <w:r>
        <w:rPr>
          <w:lang w:val="en-US"/>
        </w:rPr>
        <w:t>E</w:t>
      </w:r>
      <w:r w:rsidR="00CE4437" w:rsidRPr="00B92F17">
        <w:rPr>
          <w:lang w:val="en-US"/>
        </w:rPr>
        <w:t xml:space="preserve">xpress an investment </w:t>
      </w:r>
      <w:proofErr w:type="gramStart"/>
      <w:r w:rsidR="00CE4437" w:rsidRPr="00B92F17">
        <w:rPr>
          <w:lang w:val="en-US"/>
        </w:rPr>
        <w:t>view</w:t>
      </w:r>
      <w:proofErr w:type="gramEnd"/>
    </w:p>
    <w:p w14:paraId="5E2E2070" w14:textId="3C1BBAD6" w:rsidR="00CE4437" w:rsidRPr="00B92F17" w:rsidRDefault="00D06059" w:rsidP="00B92F17">
      <w:pPr>
        <w:pStyle w:val="ListParagraph"/>
        <w:numPr>
          <w:ilvl w:val="0"/>
          <w:numId w:val="9"/>
        </w:numPr>
        <w:rPr>
          <w:lang w:val="en-US"/>
        </w:rPr>
      </w:pPr>
      <w:r>
        <w:rPr>
          <w:lang w:val="en-US"/>
        </w:rPr>
        <w:t>S</w:t>
      </w:r>
      <w:r w:rsidR="00CE4437" w:rsidRPr="00B92F17">
        <w:rPr>
          <w:lang w:val="en-US"/>
        </w:rPr>
        <w:t xml:space="preserve">hort companies that </w:t>
      </w:r>
      <w:r w:rsidR="00387501" w:rsidRPr="00B92F17">
        <w:rPr>
          <w:lang w:val="en-US"/>
        </w:rPr>
        <w:t>violate</w:t>
      </w:r>
      <w:r w:rsidR="00CE4437" w:rsidRPr="00B92F17">
        <w:rPr>
          <w:lang w:val="en-US"/>
        </w:rPr>
        <w:t xml:space="preserve"> international norms and standards as well as the </w:t>
      </w:r>
      <w:r w:rsidR="00D2280B">
        <w:rPr>
          <w:lang w:val="en-US"/>
        </w:rPr>
        <w:t>Fund’s</w:t>
      </w:r>
      <w:r w:rsidR="00CE4437" w:rsidRPr="00B92F17">
        <w:rPr>
          <w:lang w:val="en-US"/>
        </w:rPr>
        <w:t xml:space="preserve"> ESG positions</w:t>
      </w:r>
    </w:p>
    <w:p w14:paraId="2A9F5749" w14:textId="1242F346" w:rsidR="00CE4437" w:rsidRPr="00B92F17" w:rsidRDefault="00D06059" w:rsidP="00B92F17">
      <w:pPr>
        <w:pStyle w:val="ListParagraph"/>
        <w:numPr>
          <w:ilvl w:val="0"/>
          <w:numId w:val="9"/>
        </w:numPr>
        <w:rPr>
          <w:lang w:val="en-US"/>
        </w:rPr>
      </w:pPr>
      <w:r>
        <w:rPr>
          <w:lang w:val="en-US"/>
        </w:rPr>
        <w:t>H</w:t>
      </w:r>
      <w:r w:rsidR="00D541A5" w:rsidRPr="00B92F17">
        <w:rPr>
          <w:lang w:val="en-US"/>
        </w:rPr>
        <w:t>edge</w:t>
      </w:r>
      <w:r w:rsidR="00CE4437" w:rsidRPr="00B92F17">
        <w:rPr>
          <w:lang w:val="en-US"/>
        </w:rPr>
        <w:t xml:space="preserve"> against ESG risks</w:t>
      </w:r>
      <w:r w:rsidR="004F57A2">
        <w:rPr>
          <w:lang w:val="en-US"/>
        </w:rPr>
        <w:t>.</w:t>
      </w:r>
    </w:p>
    <w:p w14:paraId="2CD06AAC" w14:textId="4238975F" w:rsidR="00B70A12" w:rsidRDefault="00B70A12" w:rsidP="00CE4437">
      <w:pPr>
        <w:rPr>
          <w:lang w:val="en-US"/>
        </w:rPr>
      </w:pPr>
      <w:r>
        <w:rPr>
          <w:lang w:val="en-US"/>
        </w:rPr>
        <w:lastRenderedPageBreak/>
        <w:t>The Fund’s short positions are only expected to have a</w:t>
      </w:r>
      <w:r w:rsidR="00913CCC">
        <w:rPr>
          <w:lang w:val="en-US"/>
        </w:rPr>
        <w:t xml:space="preserve"> potential</w:t>
      </w:r>
      <w:r>
        <w:rPr>
          <w:lang w:val="en-US"/>
        </w:rPr>
        <w:t xml:space="preserve"> real </w:t>
      </w:r>
      <w:r w:rsidR="00967BB8">
        <w:rPr>
          <w:lang w:val="en-US"/>
        </w:rPr>
        <w:t xml:space="preserve">world </w:t>
      </w:r>
      <w:r>
        <w:rPr>
          <w:lang w:val="en-US"/>
        </w:rPr>
        <w:t>ESG impact</w:t>
      </w:r>
      <w:r w:rsidR="004A7C16">
        <w:rPr>
          <w:lang w:val="en-US"/>
        </w:rPr>
        <w:t>, if published</w:t>
      </w:r>
      <w:r w:rsidR="00B04BE5">
        <w:rPr>
          <w:lang w:val="en-US"/>
        </w:rPr>
        <w:t xml:space="preserve"> or </w:t>
      </w:r>
      <w:r w:rsidR="007609C8">
        <w:rPr>
          <w:lang w:val="en-US"/>
        </w:rPr>
        <w:t xml:space="preserve">made as </w:t>
      </w:r>
      <w:r w:rsidR="00B04BE5">
        <w:rPr>
          <w:lang w:val="en-US"/>
        </w:rPr>
        <w:t>part of a broader activist initiative</w:t>
      </w:r>
      <w:r w:rsidR="00FB5CF4">
        <w:rPr>
          <w:lang w:val="en-US"/>
        </w:rPr>
        <w:t xml:space="preserve">. </w:t>
      </w:r>
      <w:r w:rsidR="00C13042">
        <w:rPr>
          <w:lang w:val="en-US"/>
        </w:rPr>
        <w:t xml:space="preserve">None of these approaches are an integrated </w:t>
      </w:r>
      <w:r w:rsidR="00951025">
        <w:rPr>
          <w:lang w:val="en-US"/>
        </w:rPr>
        <w:t xml:space="preserve">part of the Funds </w:t>
      </w:r>
      <w:r w:rsidR="003820B5">
        <w:rPr>
          <w:lang w:val="en-US"/>
        </w:rPr>
        <w:t xml:space="preserve">normal </w:t>
      </w:r>
      <w:r w:rsidR="00951025">
        <w:rPr>
          <w:lang w:val="en-US"/>
        </w:rPr>
        <w:t xml:space="preserve">investment strategy. </w:t>
      </w:r>
    </w:p>
    <w:p w14:paraId="0E5CF6D5" w14:textId="550E8698" w:rsidR="0032387C" w:rsidRDefault="0032387C" w:rsidP="00CE4437">
      <w:pPr>
        <w:rPr>
          <w:lang w:val="en-US"/>
        </w:rPr>
      </w:pPr>
    </w:p>
    <w:p w14:paraId="0B279E1B" w14:textId="1A2A0F5F" w:rsidR="0032387C" w:rsidRPr="00F91724" w:rsidRDefault="0032387C" w:rsidP="00CE4437">
      <w:pPr>
        <w:rPr>
          <w:u w:val="single"/>
          <w:lang w:val="en-US"/>
        </w:rPr>
      </w:pPr>
      <w:r w:rsidRPr="00F91724">
        <w:rPr>
          <w:u w:val="single"/>
          <w:lang w:val="en-US"/>
        </w:rPr>
        <w:t xml:space="preserve">Proportion of </w:t>
      </w:r>
      <w:r w:rsidR="00FA0EAB" w:rsidRPr="00F91724">
        <w:rPr>
          <w:u w:val="single"/>
          <w:lang w:val="en-US"/>
        </w:rPr>
        <w:t>i</w:t>
      </w:r>
      <w:r w:rsidR="00962957" w:rsidRPr="00F91724">
        <w:rPr>
          <w:u w:val="single"/>
          <w:lang w:val="en-US"/>
        </w:rPr>
        <w:t>nvestments</w:t>
      </w:r>
    </w:p>
    <w:p w14:paraId="59974478" w14:textId="75FA8741" w:rsidR="00E968C0" w:rsidRDefault="00387501" w:rsidP="00CE4437">
      <w:pPr>
        <w:rPr>
          <w:lang w:val="en-US"/>
        </w:rPr>
      </w:pPr>
      <w:r>
        <w:rPr>
          <w:noProof/>
        </w:rPr>
        <mc:AlternateContent>
          <mc:Choice Requires="wps">
            <w:drawing>
              <wp:anchor distT="0" distB="0" distL="114300" distR="114300" simplePos="0" relativeHeight="251658240" behindDoc="0" locked="0" layoutInCell="1" allowOverlap="1" wp14:anchorId="57BA0F13" wp14:editId="5530C6BF">
                <wp:simplePos x="0" y="0"/>
                <wp:positionH relativeFrom="margin">
                  <wp:align>center</wp:align>
                </wp:positionH>
                <wp:positionV relativeFrom="margin">
                  <wp:posOffset>1369695</wp:posOffset>
                </wp:positionV>
                <wp:extent cx="5117465" cy="3544570"/>
                <wp:effectExtent l="0" t="0" r="698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7465" cy="3544570"/>
                        </a:xfrm>
                        <a:prstGeom prst="rect">
                          <a:avLst/>
                        </a:prstGeom>
                        <a:solidFill>
                          <a:srgbClr val="EA933B">
                            <a:lumMod val="20000"/>
                            <a:lumOff val="80000"/>
                          </a:srgbClr>
                        </a:solidFill>
                        <a:ln w="12700" cap="flat" cmpd="sng" algn="ctr">
                          <a:noFill/>
                          <a:prstDash val="solid"/>
                          <a:miter lim="800000"/>
                        </a:ln>
                        <a:effectLst/>
                      </wps:spPr>
                      <wps:txbx>
                        <w:txbxContent>
                          <w:p w14:paraId="17E13E2C" w14:textId="77777777" w:rsidR="00E421D2" w:rsidRPr="00632BFC" w:rsidRDefault="00E421D2" w:rsidP="00E421D2">
                            <w:pPr>
                              <w:jc w:val="center"/>
                            </w:pPr>
                            <w:r>
                              <w:rPr>
                                <w:noProof/>
                              </w:rPr>
                              <w:drawing>
                                <wp:inline distT="0" distB="0" distL="0" distR="0" wp14:anchorId="2D041CED" wp14:editId="1817CC61">
                                  <wp:extent cx="4517390" cy="2280863"/>
                                  <wp:effectExtent l="0" t="0" r="0" b="0"/>
                                  <wp:docPr id="385" name="Diagram 3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71AD189" w14:textId="36FCE23D" w:rsidR="00E421D2" w:rsidRPr="00271AED" w:rsidRDefault="00E421D2" w:rsidP="00E421D2">
                            <w:pPr>
                              <w:spacing w:after="0"/>
                              <w:rPr>
                                <w:rFonts w:cstheme="minorHAnsi"/>
                                <w:color w:val="000000"/>
                                <w:sz w:val="20"/>
                                <w:szCs w:val="20"/>
                                <w:lang w:val="en-US"/>
                              </w:rPr>
                            </w:pPr>
                            <w:r w:rsidRPr="00271AED">
                              <w:rPr>
                                <w:rFonts w:cstheme="minorHAnsi"/>
                                <w:b/>
                                <w:bCs/>
                                <w:color w:val="000000"/>
                                <w:sz w:val="20"/>
                                <w:szCs w:val="20"/>
                                <w:lang w:val="en-US"/>
                              </w:rPr>
                              <w:t xml:space="preserve">#1 </w:t>
                            </w:r>
                            <w:r w:rsidR="001616C1" w:rsidRPr="00271AED">
                              <w:rPr>
                                <w:b/>
                                <w:bCs/>
                                <w:sz w:val="20"/>
                                <w:szCs w:val="20"/>
                                <w:lang w:val="en-US"/>
                              </w:rPr>
                              <w:t>Aligned with E/S characteristics</w:t>
                            </w:r>
                            <w:r w:rsidR="001616C1" w:rsidRPr="00271AED">
                              <w:rPr>
                                <w:sz w:val="20"/>
                                <w:szCs w:val="20"/>
                                <w:lang w:val="en-US"/>
                              </w:rPr>
                              <w:t xml:space="preserve"> includes the investments of the financial product used to attain the environmental or social characteristics promoted by the financial product.</w:t>
                            </w:r>
                          </w:p>
                          <w:p w14:paraId="69D78A69" w14:textId="11C998E4" w:rsidR="00E421D2" w:rsidRPr="001066A7" w:rsidRDefault="00E421D2" w:rsidP="001066A7">
                            <w:pPr>
                              <w:spacing w:after="0"/>
                              <w:rPr>
                                <w:rFonts w:cstheme="minorHAnsi"/>
                                <w:sz w:val="20"/>
                                <w:szCs w:val="20"/>
                                <w:lang w:val="en-US"/>
                              </w:rPr>
                            </w:pPr>
                            <w:r w:rsidRPr="001066A7">
                              <w:rPr>
                                <w:rFonts w:cstheme="minorHAnsi"/>
                                <w:b/>
                                <w:bCs/>
                                <w:color w:val="000000"/>
                                <w:sz w:val="20"/>
                                <w:szCs w:val="20"/>
                                <w:lang w:val="en-US"/>
                              </w:rPr>
                              <w:t xml:space="preserve">#2 </w:t>
                            </w:r>
                            <w:r w:rsidR="001066A7" w:rsidRPr="001066A7">
                              <w:rPr>
                                <w:b/>
                                <w:bCs/>
                                <w:sz w:val="20"/>
                                <w:szCs w:val="20"/>
                                <w:lang w:val="en-US"/>
                              </w:rPr>
                              <w:t>Other</w:t>
                            </w:r>
                            <w:r w:rsidR="001066A7" w:rsidRPr="001066A7">
                              <w:rPr>
                                <w:sz w:val="20"/>
                                <w:szCs w:val="20"/>
                                <w:lang w:val="en-US"/>
                              </w:rPr>
                              <w:t xml:space="preserve"> includes the remaining investments of the financial product which are neither aligned with the environmental or social characteristics, nor are qualified as sustainable investments.</w:t>
                            </w:r>
                          </w:p>
                          <w:p w14:paraId="0CE5D31C" w14:textId="77777777" w:rsidR="00E421D2" w:rsidRPr="001066A7" w:rsidRDefault="00E421D2" w:rsidP="00E421D2">
                            <w:pPr>
                              <w:jc w:val="center"/>
                              <w:rPr>
                                <w:rFonts w:cstheme="minorHAnsi"/>
                                <w:sz w:val="20"/>
                                <w:szCs w:val="20"/>
                                <w:lang w:val="en-US"/>
                              </w:rPr>
                            </w:pPr>
                          </w:p>
                          <w:p w14:paraId="67E0A167" w14:textId="77777777" w:rsidR="00E421D2" w:rsidRPr="001066A7" w:rsidRDefault="00E421D2" w:rsidP="00E421D2">
                            <w:pPr>
                              <w:jc w:val="center"/>
                              <w:rPr>
                                <w:rFonts w:cstheme="minorHAnsi"/>
                                <w:sz w:val="20"/>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0F13" id="Rectangle 1" o:spid="_x0000_s1026" style="position:absolute;margin-left:0;margin-top:107.85pt;width:402.95pt;height:279.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" fillcolor="#fbe9d8" stroked="f" strokeweight="1pt">
                <v:textbox>
                  <w:txbxContent>
                    <w:p w14:paraId="17E13E2C" w14:textId="77777777" w:rsidR="00E421D2" w:rsidRPr="00632BFC" w:rsidRDefault="00E421D2" w:rsidP="00E421D2">
                      <w:pPr>
                        <w:jc w:val="center"/>
                      </w:pPr>
                      <w:r>
                        <w:rPr>
                          <w:noProof/>
                        </w:rPr>
                        <w:drawing>
                          <wp:inline distT="0" distB="0" distL="0" distR="0" wp14:anchorId="2D041CED" wp14:editId="1817CC61">
                            <wp:extent cx="4517390" cy="2280863"/>
                            <wp:effectExtent l="0" t="0" r="0" b="0"/>
                            <wp:docPr id="385" name="Diagram 3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71AD189" w14:textId="36FCE23D" w:rsidR="00E421D2" w:rsidRPr="00271AED" w:rsidRDefault="00E421D2" w:rsidP="00E421D2">
                      <w:pPr>
                        <w:spacing w:after="0"/>
                        <w:rPr>
                          <w:rFonts w:cstheme="minorHAnsi"/>
                          <w:color w:val="000000"/>
                          <w:sz w:val="20"/>
                          <w:szCs w:val="20"/>
                          <w:lang w:val="en-US"/>
                        </w:rPr>
                      </w:pPr>
                      <w:r w:rsidRPr="00271AED">
                        <w:rPr>
                          <w:rFonts w:cstheme="minorHAnsi"/>
                          <w:b/>
                          <w:bCs/>
                          <w:color w:val="000000"/>
                          <w:sz w:val="20"/>
                          <w:szCs w:val="20"/>
                          <w:lang w:val="en-US"/>
                        </w:rPr>
                        <w:t xml:space="preserve">#1 </w:t>
                      </w:r>
                      <w:r w:rsidR="001616C1" w:rsidRPr="00271AED">
                        <w:rPr>
                          <w:b/>
                          <w:bCs/>
                          <w:sz w:val="20"/>
                          <w:szCs w:val="20"/>
                          <w:lang w:val="en-US"/>
                        </w:rPr>
                        <w:t>Aligned with E/S characteristics</w:t>
                      </w:r>
                      <w:r w:rsidR="001616C1" w:rsidRPr="00271AED">
                        <w:rPr>
                          <w:sz w:val="20"/>
                          <w:szCs w:val="20"/>
                          <w:lang w:val="en-US"/>
                        </w:rPr>
                        <w:t xml:space="preserve"> includes the investments of the financial product used to attain the environmental or social characteristics promoted by the financial product.</w:t>
                      </w:r>
                    </w:p>
                    <w:p w14:paraId="69D78A69" w14:textId="11C998E4" w:rsidR="00E421D2" w:rsidRPr="001066A7" w:rsidRDefault="00E421D2" w:rsidP="001066A7">
                      <w:pPr>
                        <w:spacing w:after="0"/>
                        <w:rPr>
                          <w:rFonts w:cstheme="minorHAnsi"/>
                          <w:sz w:val="20"/>
                          <w:szCs w:val="20"/>
                          <w:lang w:val="en-US"/>
                        </w:rPr>
                      </w:pPr>
                      <w:r w:rsidRPr="001066A7">
                        <w:rPr>
                          <w:rFonts w:cstheme="minorHAnsi"/>
                          <w:b/>
                          <w:bCs/>
                          <w:color w:val="000000"/>
                          <w:sz w:val="20"/>
                          <w:szCs w:val="20"/>
                          <w:lang w:val="en-US"/>
                        </w:rPr>
                        <w:t xml:space="preserve">#2 </w:t>
                      </w:r>
                      <w:r w:rsidR="001066A7" w:rsidRPr="001066A7">
                        <w:rPr>
                          <w:b/>
                          <w:bCs/>
                          <w:sz w:val="20"/>
                          <w:szCs w:val="20"/>
                          <w:lang w:val="en-US"/>
                        </w:rPr>
                        <w:t>Other</w:t>
                      </w:r>
                      <w:r w:rsidR="001066A7" w:rsidRPr="001066A7">
                        <w:rPr>
                          <w:sz w:val="20"/>
                          <w:szCs w:val="20"/>
                          <w:lang w:val="en-US"/>
                        </w:rPr>
                        <w:t xml:space="preserve"> includes the remaining investments of the financial product which are neither aligned with the environmental or social characteristics, nor are qualified as sustainable investments.</w:t>
                      </w:r>
                    </w:p>
                    <w:p w14:paraId="0CE5D31C" w14:textId="77777777" w:rsidR="00E421D2" w:rsidRPr="001066A7" w:rsidRDefault="00E421D2" w:rsidP="00E421D2">
                      <w:pPr>
                        <w:jc w:val="center"/>
                        <w:rPr>
                          <w:rFonts w:cstheme="minorHAnsi"/>
                          <w:sz w:val="20"/>
                          <w:szCs w:val="20"/>
                          <w:lang w:val="en-US"/>
                        </w:rPr>
                      </w:pPr>
                    </w:p>
                    <w:p w14:paraId="67E0A167" w14:textId="77777777" w:rsidR="00E421D2" w:rsidRPr="001066A7" w:rsidRDefault="00E421D2" w:rsidP="00E421D2">
                      <w:pPr>
                        <w:jc w:val="center"/>
                        <w:rPr>
                          <w:rFonts w:cstheme="minorHAnsi"/>
                          <w:sz w:val="20"/>
                          <w:szCs w:val="18"/>
                          <w:lang w:val="en-US"/>
                        </w:rPr>
                      </w:pPr>
                    </w:p>
                  </w:txbxContent>
                </v:textbox>
                <w10:wrap type="square" anchorx="margin" anchory="margin"/>
              </v:rect>
            </w:pict>
          </mc:Fallback>
        </mc:AlternateContent>
      </w:r>
    </w:p>
    <w:p w14:paraId="6B06F56E" w14:textId="79658180" w:rsidR="00E421D2" w:rsidRPr="00F91724" w:rsidRDefault="00E421D2" w:rsidP="00E421D2">
      <w:pPr>
        <w:rPr>
          <w:lang w:val="en-US"/>
        </w:rPr>
      </w:pPr>
    </w:p>
    <w:p w14:paraId="4AB98F51" w14:textId="3F4FDDBE" w:rsidR="00E421D2" w:rsidRPr="00F91724" w:rsidRDefault="00E421D2" w:rsidP="00E421D2">
      <w:pPr>
        <w:rPr>
          <w:lang w:val="en-US"/>
        </w:rPr>
      </w:pPr>
      <w:r w:rsidRPr="00F91724">
        <w:rPr>
          <w:lang w:val="en-US"/>
        </w:rPr>
        <w:br/>
      </w:r>
    </w:p>
    <w:p w14:paraId="4BBBEC98" w14:textId="5C1B0255" w:rsidR="00E421D2" w:rsidRPr="00F91724" w:rsidRDefault="00E421D2" w:rsidP="00E421D2">
      <w:pPr>
        <w:rPr>
          <w:lang w:val="en-US"/>
        </w:rPr>
      </w:pPr>
    </w:p>
    <w:p w14:paraId="037058B7" w14:textId="77777777" w:rsidR="00E421D2" w:rsidRPr="00F91724" w:rsidRDefault="00E421D2" w:rsidP="00E421D2">
      <w:pPr>
        <w:rPr>
          <w:lang w:val="en-US"/>
        </w:rPr>
      </w:pPr>
    </w:p>
    <w:p w14:paraId="080821A0" w14:textId="77777777" w:rsidR="00E421D2" w:rsidRPr="00F91724" w:rsidRDefault="00E421D2" w:rsidP="00E421D2">
      <w:pPr>
        <w:rPr>
          <w:lang w:val="en-US"/>
        </w:rPr>
      </w:pPr>
    </w:p>
    <w:p w14:paraId="3AFEB2FE" w14:textId="77777777" w:rsidR="00E421D2" w:rsidRPr="00F91724" w:rsidRDefault="00E421D2" w:rsidP="00E421D2">
      <w:pPr>
        <w:rPr>
          <w:lang w:val="en-US"/>
        </w:rPr>
      </w:pPr>
    </w:p>
    <w:p w14:paraId="58259922" w14:textId="77777777" w:rsidR="00E421D2" w:rsidRPr="00F91724" w:rsidRDefault="00E421D2" w:rsidP="00E421D2">
      <w:pPr>
        <w:rPr>
          <w:lang w:val="en-US"/>
        </w:rPr>
      </w:pPr>
    </w:p>
    <w:p w14:paraId="3570858B" w14:textId="77777777" w:rsidR="00E421D2" w:rsidRPr="00F91724" w:rsidRDefault="00E421D2" w:rsidP="00E421D2">
      <w:pPr>
        <w:rPr>
          <w:lang w:val="en-US"/>
        </w:rPr>
      </w:pPr>
    </w:p>
    <w:p w14:paraId="38BFF752" w14:textId="77777777" w:rsidR="00E421D2" w:rsidRPr="00F91724" w:rsidRDefault="00E421D2" w:rsidP="00E421D2">
      <w:pPr>
        <w:rPr>
          <w:lang w:val="en-US"/>
        </w:rPr>
      </w:pPr>
    </w:p>
    <w:p w14:paraId="377FC5C1" w14:textId="77777777" w:rsidR="00E421D2" w:rsidRPr="00F91724" w:rsidRDefault="00E421D2" w:rsidP="00E421D2">
      <w:pPr>
        <w:rPr>
          <w:lang w:val="en-US"/>
        </w:rPr>
      </w:pPr>
    </w:p>
    <w:p w14:paraId="3BD24319" w14:textId="77777777" w:rsidR="00E421D2" w:rsidRPr="00F91724" w:rsidRDefault="00E421D2" w:rsidP="00E421D2">
      <w:pPr>
        <w:rPr>
          <w:lang w:val="en-US"/>
        </w:rPr>
      </w:pPr>
    </w:p>
    <w:p w14:paraId="0C64E296" w14:textId="77777777" w:rsidR="00E421D2" w:rsidRPr="00F91724" w:rsidRDefault="00E421D2" w:rsidP="00E421D2">
      <w:pPr>
        <w:rPr>
          <w:lang w:val="en-US"/>
        </w:rPr>
      </w:pPr>
    </w:p>
    <w:p w14:paraId="065488A3" w14:textId="77777777" w:rsidR="00E421D2" w:rsidRPr="00F91724" w:rsidRDefault="00E421D2" w:rsidP="00E421D2">
      <w:pPr>
        <w:rPr>
          <w:lang w:val="en-US"/>
        </w:rPr>
      </w:pPr>
    </w:p>
    <w:p w14:paraId="740A871D" w14:textId="77777777" w:rsidR="00E421D2" w:rsidRPr="00F91724" w:rsidRDefault="00E421D2" w:rsidP="00E421D2">
      <w:pPr>
        <w:rPr>
          <w:lang w:val="en-US"/>
        </w:rPr>
      </w:pPr>
    </w:p>
    <w:p w14:paraId="6D1B855D" w14:textId="3F192813" w:rsidR="00F91724" w:rsidRPr="00F91724" w:rsidRDefault="00F91724" w:rsidP="00F91724">
      <w:pPr>
        <w:rPr>
          <w:lang w:val="en-US"/>
        </w:rPr>
      </w:pPr>
      <w:r w:rsidRPr="00F91724">
        <w:rPr>
          <w:lang w:val="en-US"/>
        </w:rPr>
        <w:t xml:space="preserve">The </w:t>
      </w:r>
      <w:r>
        <w:rPr>
          <w:lang w:val="en-US"/>
        </w:rPr>
        <w:t>Fund</w:t>
      </w:r>
      <w:r w:rsidRPr="00F91724">
        <w:rPr>
          <w:lang w:val="en-US"/>
        </w:rPr>
        <w:t xml:space="preserve"> can </w:t>
      </w:r>
      <w:r w:rsidR="004F17C0">
        <w:rPr>
          <w:lang w:val="en-US"/>
        </w:rPr>
        <w:t>include</w:t>
      </w:r>
      <w:r w:rsidRPr="00F91724">
        <w:rPr>
          <w:lang w:val="en-US"/>
        </w:rPr>
        <w:t xml:space="preserve"> up to:</w:t>
      </w:r>
    </w:p>
    <w:p w14:paraId="53D82EEE" w14:textId="2D7B82B2" w:rsidR="00F91724" w:rsidRPr="00F91724" w:rsidRDefault="00F91724" w:rsidP="00F91724">
      <w:pPr>
        <w:rPr>
          <w:lang w:val="en-US"/>
        </w:rPr>
      </w:pPr>
      <w:r w:rsidRPr="00F91724">
        <w:rPr>
          <w:lang w:val="en-US"/>
        </w:rPr>
        <w:t>• 60% in cash</w:t>
      </w:r>
    </w:p>
    <w:p w14:paraId="278D3AE7" w14:textId="3730492D" w:rsidR="00F91724" w:rsidRPr="00F91724" w:rsidRDefault="00F91724" w:rsidP="00F91724">
      <w:pPr>
        <w:rPr>
          <w:lang w:val="en-US"/>
        </w:rPr>
      </w:pPr>
      <w:r w:rsidRPr="00F91724">
        <w:rPr>
          <w:lang w:val="en-US"/>
        </w:rPr>
        <w:t xml:space="preserve">• 90% in net short </w:t>
      </w:r>
      <w:r w:rsidR="00EA2AF7">
        <w:rPr>
          <w:lang w:val="en-US"/>
        </w:rPr>
        <w:t>equity</w:t>
      </w:r>
      <w:r w:rsidRPr="00F91724">
        <w:rPr>
          <w:lang w:val="en-US"/>
        </w:rPr>
        <w:t xml:space="preserve"> positions, max. 4% </w:t>
      </w:r>
      <w:r w:rsidR="00EA2AF7">
        <w:rPr>
          <w:lang w:val="en-US"/>
        </w:rPr>
        <w:t>in each</w:t>
      </w:r>
      <w:r w:rsidRPr="00F91724">
        <w:rPr>
          <w:lang w:val="en-US"/>
        </w:rPr>
        <w:t xml:space="preserve"> position</w:t>
      </w:r>
    </w:p>
    <w:p w14:paraId="70196C9B" w14:textId="527425CD" w:rsidR="00F91724" w:rsidRPr="00F91724" w:rsidRDefault="00F91724" w:rsidP="00F91724">
      <w:pPr>
        <w:rPr>
          <w:lang w:val="en-US"/>
        </w:rPr>
      </w:pPr>
      <w:r w:rsidRPr="00F91724">
        <w:rPr>
          <w:lang w:val="en-US"/>
        </w:rPr>
        <w:t>• 40% in short individual ETFs</w:t>
      </w:r>
    </w:p>
    <w:p w14:paraId="1A687B75" w14:textId="4CDB1D3D" w:rsidR="00F91724" w:rsidRPr="00F91724" w:rsidRDefault="00F91724" w:rsidP="00F91724">
      <w:pPr>
        <w:rPr>
          <w:lang w:val="en-US"/>
        </w:rPr>
      </w:pPr>
      <w:r w:rsidRPr="00F91724">
        <w:rPr>
          <w:lang w:val="en-US"/>
        </w:rPr>
        <w:t>• 40% in long individual ETFs</w:t>
      </w:r>
    </w:p>
    <w:p w14:paraId="70991685" w14:textId="45D16E5D" w:rsidR="00E421D2" w:rsidRDefault="00F91724" w:rsidP="00F91724">
      <w:pPr>
        <w:rPr>
          <w:lang w:val="en-US"/>
        </w:rPr>
      </w:pPr>
      <w:r w:rsidRPr="00F91724">
        <w:rPr>
          <w:lang w:val="en-US"/>
        </w:rPr>
        <w:t xml:space="preserve">The </w:t>
      </w:r>
      <w:r w:rsidR="004A25DF">
        <w:rPr>
          <w:lang w:val="en-US"/>
        </w:rPr>
        <w:t xml:space="preserve">different </w:t>
      </w:r>
      <w:r w:rsidR="004A25DF" w:rsidRPr="001A594A">
        <w:rPr>
          <w:lang w:val="en-US"/>
        </w:rPr>
        <w:t xml:space="preserve">investment </w:t>
      </w:r>
      <w:r w:rsidR="00E00009" w:rsidRPr="001A594A">
        <w:rPr>
          <w:lang w:val="en-US"/>
        </w:rPr>
        <w:t>thresholds</w:t>
      </w:r>
      <w:r w:rsidR="00A95212">
        <w:rPr>
          <w:lang w:val="en-US"/>
        </w:rPr>
        <w:t xml:space="preserve"> </w:t>
      </w:r>
      <w:r w:rsidRPr="00F91724">
        <w:rPr>
          <w:lang w:val="en-US"/>
        </w:rPr>
        <w:t xml:space="preserve">are used in connection with risk management and return generation. The </w:t>
      </w:r>
      <w:r w:rsidR="004311BE">
        <w:rPr>
          <w:lang w:val="en-US"/>
        </w:rPr>
        <w:t>Fund</w:t>
      </w:r>
      <w:r w:rsidRPr="00F91724">
        <w:rPr>
          <w:lang w:val="en-US"/>
        </w:rPr>
        <w:t xml:space="preserve"> invests neither short nor long in financial instruments </w:t>
      </w:r>
      <w:r w:rsidR="005C6DC3">
        <w:rPr>
          <w:lang w:val="en-US"/>
        </w:rPr>
        <w:t xml:space="preserve">or </w:t>
      </w:r>
      <w:r w:rsidR="00CA5937">
        <w:rPr>
          <w:lang w:val="en-US"/>
        </w:rPr>
        <w:t xml:space="preserve">equity </w:t>
      </w:r>
      <w:r w:rsidRPr="00F91724">
        <w:rPr>
          <w:lang w:val="en-US"/>
        </w:rPr>
        <w:t>positions that directly reflect</w:t>
      </w:r>
      <w:r w:rsidR="008B1DA2">
        <w:rPr>
          <w:lang w:val="en-US"/>
        </w:rPr>
        <w:t>s</w:t>
      </w:r>
      <w:r w:rsidRPr="00F91724">
        <w:rPr>
          <w:lang w:val="en-US"/>
        </w:rPr>
        <w:t xml:space="preserve"> the development in food prices.</w:t>
      </w:r>
    </w:p>
    <w:p w14:paraId="4B5FAF2B" w14:textId="77777777" w:rsidR="003E2EA8" w:rsidRDefault="003E2EA8" w:rsidP="00F91724">
      <w:pPr>
        <w:rPr>
          <w:lang w:val="en-US"/>
        </w:rPr>
      </w:pPr>
    </w:p>
    <w:p w14:paraId="31CCC415" w14:textId="050A070F" w:rsidR="003E2EA8" w:rsidRPr="000367AC" w:rsidRDefault="003E2EA8" w:rsidP="00F91724">
      <w:pPr>
        <w:rPr>
          <w:u w:val="single"/>
          <w:lang w:val="en-US"/>
        </w:rPr>
      </w:pPr>
      <w:r w:rsidRPr="000367AC">
        <w:rPr>
          <w:u w:val="single"/>
          <w:lang w:val="en-US"/>
        </w:rPr>
        <w:t>Monitoring of environmental or social characteristics</w:t>
      </w:r>
    </w:p>
    <w:p w14:paraId="5C83EA6D" w14:textId="0F2D2AD6" w:rsidR="00D80E0D" w:rsidRPr="00D80E0D" w:rsidRDefault="00D80E0D" w:rsidP="00D80E0D">
      <w:pPr>
        <w:rPr>
          <w:lang w:val="en-US"/>
        </w:rPr>
      </w:pPr>
      <w:r w:rsidRPr="00D80E0D">
        <w:rPr>
          <w:lang w:val="en-US"/>
        </w:rPr>
        <w:t xml:space="preserve">The </w:t>
      </w:r>
      <w:r w:rsidR="00E33EB3">
        <w:rPr>
          <w:lang w:val="en-US"/>
        </w:rPr>
        <w:t>Fund</w:t>
      </w:r>
      <w:r w:rsidRPr="00D80E0D">
        <w:rPr>
          <w:lang w:val="en-US"/>
        </w:rPr>
        <w:t xml:space="preserve"> uses the following sustainability indicators to monitor the ESG characteristics:</w:t>
      </w:r>
    </w:p>
    <w:p w14:paraId="4BC53BC7" w14:textId="2D6F6F67" w:rsidR="00D80E0D" w:rsidRPr="00D80E0D" w:rsidRDefault="00D80E0D" w:rsidP="004C1BF2">
      <w:pPr>
        <w:pStyle w:val="ListParagraph"/>
        <w:numPr>
          <w:ilvl w:val="0"/>
          <w:numId w:val="8"/>
        </w:numPr>
        <w:rPr>
          <w:lang w:val="en-US"/>
        </w:rPr>
      </w:pPr>
      <w:r w:rsidRPr="00D80E0D">
        <w:rPr>
          <w:lang w:val="en-US"/>
        </w:rPr>
        <w:lastRenderedPageBreak/>
        <w:t>The number of potential or current investments excluded</w:t>
      </w:r>
      <w:r w:rsidR="00A8707C">
        <w:rPr>
          <w:lang w:val="en-US"/>
        </w:rPr>
        <w:t xml:space="preserve"> </w:t>
      </w:r>
      <w:r w:rsidR="008062A6" w:rsidRPr="00D80E0D">
        <w:rPr>
          <w:lang w:val="en-US"/>
        </w:rPr>
        <w:t>because of</w:t>
      </w:r>
      <w:r w:rsidRPr="00D80E0D">
        <w:rPr>
          <w:lang w:val="en-US"/>
        </w:rPr>
        <w:t xml:space="preserve"> </w:t>
      </w:r>
      <w:r w:rsidR="008062A6">
        <w:rPr>
          <w:lang w:val="en-US"/>
        </w:rPr>
        <w:t>violations</w:t>
      </w:r>
      <w:r w:rsidRPr="00D80E0D">
        <w:rPr>
          <w:lang w:val="en-US"/>
        </w:rPr>
        <w:t xml:space="preserve"> of international norms and standards (does not apply to short positions).</w:t>
      </w:r>
    </w:p>
    <w:p w14:paraId="68931583" w14:textId="4BEDC6DC" w:rsidR="00D80E0D" w:rsidRPr="00D80E0D" w:rsidRDefault="00D80E0D" w:rsidP="004C1BF2">
      <w:pPr>
        <w:pStyle w:val="ListParagraph"/>
        <w:numPr>
          <w:ilvl w:val="0"/>
          <w:numId w:val="8"/>
        </w:numPr>
        <w:rPr>
          <w:lang w:val="en-US"/>
        </w:rPr>
      </w:pPr>
      <w:r w:rsidRPr="00D80E0D">
        <w:rPr>
          <w:lang w:val="en-US"/>
        </w:rPr>
        <w:t xml:space="preserve">The number of potential or current investments excluded </w:t>
      </w:r>
      <w:r w:rsidR="00D75448">
        <w:rPr>
          <w:lang w:val="en-US"/>
        </w:rPr>
        <w:t xml:space="preserve">due to </w:t>
      </w:r>
      <w:r w:rsidRPr="00D80E0D">
        <w:rPr>
          <w:lang w:val="en-US"/>
        </w:rPr>
        <w:t>thematic- and product-based screening</w:t>
      </w:r>
      <w:r w:rsidR="004D03BF">
        <w:rPr>
          <w:lang w:val="en-US"/>
        </w:rPr>
        <w:t>s</w:t>
      </w:r>
      <w:r w:rsidRPr="00D80E0D">
        <w:rPr>
          <w:lang w:val="en-US"/>
        </w:rPr>
        <w:t xml:space="preserve"> </w:t>
      </w:r>
      <w:r w:rsidR="00532306">
        <w:rPr>
          <w:lang w:val="en-US"/>
        </w:rPr>
        <w:t>of the Fund</w:t>
      </w:r>
      <w:r w:rsidR="00D75448">
        <w:rPr>
          <w:lang w:val="en-US"/>
        </w:rPr>
        <w:t xml:space="preserve"> </w:t>
      </w:r>
      <w:r w:rsidRPr="00D80E0D">
        <w:rPr>
          <w:lang w:val="en-US"/>
        </w:rPr>
        <w:t>(does not apply to short positions).</w:t>
      </w:r>
    </w:p>
    <w:p w14:paraId="6DAD22B8" w14:textId="39BC80DA" w:rsidR="00D80E0D" w:rsidRPr="00D80E0D" w:rsidRDefault="00D80E0D" w:rsidP="004C1BF2">
      <w:pPr>
        <w:pStyle w:val="ListParagraph"/>
        <w:numPr>
          <w:ilvl w:val="0"/>
          <w:numId w:val="8"/>
        </w:numPr>
        <w:rPr>
          <w:lang w:val="en-US"/>
        </w:rPr>
      </w:pPr>
      <w:r w:rsidRPr="00D80E0D">
        <w:rPr>
          <w:lang w:val="en-US"/>
        </w:rPr>
        <w:t>The number of formal engagements with existing portfolio companies.</w:t>
      </w:r>
    </w:p>
    <w:p w14:paraId="06BE3A4F" w14:textId="6598510E" w:rsidR="00D80E0D" w:rsidRPr="00D80E0D" w:rsidRDefault="00D80E0D" w:rsidP="004C1BF2">
      <w:pPr>
        <w:pStyle w:val="ListParagraph"/>
        <w:numPr>
          <w:ilvl w:val="0"/>
          <w:numId w:val="8"/>
        </w:numPr>
        <w:rPr>
          <w:lang w:val="en-US"/>
        </w:rPr>
      </w:pPr>
      <w:r w:rsidRPr="00D80E0D">
        <w:rPr>
          <w:lang w:val="en-US"/>
        </w:rPr>
        <w:t xml:space="preserve">The </w:t>
      </w:r>
      <w:r w:rsidR="00631091">
        <w:rPr>
          <w:lang w:val="en-US"/>
        </w:rPr>
        <w:t>F</w:t>
      </w:r>
      <w:r w:rsidRPr="00D80E0D">
        <w:rPr>
          <w:lang w:val="en-US"/>
        </w:rPr>
        <w:t>und's last three-year</w:t>
      </w:r>
      <w:r w:rsidR="002F6744">
        <w:rPr>
          <w:lang w:val="en-US"/>
        </w:rPr>
        <w:t>s</w:t>
      </w:r>
      <w:r w:rsidRPr="00D80E0D">
        <w:rPr>
          <w:lang w:val="en-US"/>
        </w:rPr>
        <w:t xml:space="preserve"> annual average ESG</w:t>
      </w:r>
      <w:r w:rsidR="002F6744">
        <w:rPr>
          <w:lang w:val="en-US"/>
        </w:rPr>
        <w:t>-</w:t>
      </w:r>
      <w:r w:rsidRPr="00D80E0D">
        <w:rPr>
          <w:lang w:val="en-US"/>
        </w:rPr>
        <w:t>risk</w:t>
      </w:r>
      <w:r w:rsidR="002F6744">
        <w:rPr>
          <w:lang w:val="en-US"/>
        </w:rPr>
        <w:t>-</w:t>
      </w:r>
      <w:r w:rsidRPr="00D80E0D">
        <w:rPr>
          <w:lang w:val="en-US"/>
        </w:rPr>
        <w:t>score (excluding short positions).</w:t>
      </w:r>
    </w:p>
    <w:p w14:paraId="6D373894" w14:textId="2B088518" w:rsidR="004C1BF2" w:rsidRPr="004C1BF2" w:rsidRDefault="004C1BF2" w:rsidP="004C1BF2">
      <w:pPr>
        <w:pStyle w:val="ListParagraph"/>
        <w:numPr>
          <w:ilvl w:val="0"/>
          <w:numId w:val="8"/>
        </w:numPr>
        <w:rPr>
          <w:lang w:val="en-US"/>
        </w:rPr>
      </w:pPr>
      <w:r w:rsidRPr="004C1BF2">
        <w:rPr>
          <w:lang w:val="en-US"/>
        </w:rPr>
        <w:t xml:space="preserve">The </w:t>
      </w:r>
      <w:r>
        <w:rPr>
          <w:lang w:val="en-US"/>
        </w:rPr>
        <w:t>Fund’s</w:t>
      </w:r>
      <w:r w:rsidRPr="004C1BF2">
        <w:rPr>
          <w:lang w:val="en-US"/>
        </w:rPr>
        <w:t xml:space="preserve"> last three-year annual average ESG</w:t>
      </w:r>
      <w:r w:rsidR="008452EC">
        <w:rPr>
          <w:lang w:val="en-US"/>
        </w:rPr>
        <w:t>-</w:t>
      </w:r>
      <w:r w:rsidRPr="004C1BF2">
        <w:rPr>
          <w:lang w:val="en-US"/>
        </w:rPr>
        <w:t>impact</w:t>
      </w:r>
      <w:r w:rsidR="008452EC">
        <w:rPr>
          <w:lang w:val="en-US"/>
        </w:rPr>
        <w:t>-</w:t>
      </w:r>
      <w:r w:rsidRPr="004C1BF2">
        <w:rPr>
          <w:lang w:val="en-US"/>
        </w:rPr>
        <w:t>score (excluding short positions).</w:t>
      </w:r>
    </w:p>
    <w:p w14:paraId="1EFC8A63" w14:textId="187E250D" w:rsidR="00D572E0" w:rsidRDefault="004C1BF2" w:rsidP="00D572E0">
      <w:pPr>
        <w:pStyle w:val="ListParagraph"/>
        <w:numPr>
          <w:ilvl w:val="0"/>
          <w:numId w:val="8"/>
        </w:numPr>
        <w:rPr>
          <w:lang w:val="en-US"/>
        </w:rPr>
      </w:pPr>
      <w:r w:rsidRPr="004C1BF2">
        <w:rPr>
          <w:lang w:val="en-US"/>
        </w:rPr>
        <w:t>The number of excluded companies due to increased ESG risk profile (does not apply to short positions).</w:t>
      </w:r>
    </w:p>
    <w:p w14:paraId="73B21BA3" w14:textId="272174D1" w:rsidR="005F3786" w:rsidRPr="005F3786" w:rsidRDefault="00A722A3" w:rsidP="005F3786">
      <w:pPr>
        <w:rPr>
          <w:lang w:val="en-US"/>
        </w:rPr>
      </w:pPr>
      <w:r>
        <w:rPr>
          <w:lang w:val="en-US"/>
        </w:rPr>
        <w:t>(</w:t>
      </w:r>
      <w:r w:rsidR="005F3786" w:rsidRPr="005F3786">
        <w:rPr>
          <w:lang w:val="en-US"/>
        </w:rPr>
        <w:t>Wealth Invest</w:t>
      </w:r>
      <w:r w:rsidR="00F7219B">
        <w:rPr>
          <w:lang w:val="en-US"/>
        </w:rPr>
        <w:t>/SEB</w:t>
      </w:r>
      <w:r>
        <w:rPr>
          <w:lang w:val="en-US"/>
        </w:rPr>
        <w:t xml:space="preserve">) </w:t>
      </w:r>
      <w:r w:rsidR="0033733D">
        <w:rPr>
          <w:lang w:val="en-US"/>
        </w:rPr>
        <w:t>monitors</w:t>
      </w:r>
      <w:r w:rsidR="006571B3">
        <w:rPr>
          <w:lang w:val="en-US"/>
        </w:rPr>
        <w:t xml:space="preserve"> </w:t>
      </w:r>
      <w:r w:rsidR="000A0281">
        <w:rPr>
          <w:lang w:val="en-US"/>
        </w:rPr>
        <w:t>daily</w:t>
      </w:r>
      <w:r w:rsidR="00032BD6">
        <w:rPr>
          <w:lang w:val="en-US"/>
        </w:rPr>
        <w:t>,</w:t>
      </w:r>
      <w:r w:rsidR="003A756A">
        <w:rPr>
          <w:lang w:val="en-US"/>
        </w:rPr>
        <w:t xml:space="preserve"> </w:t>
      </w:r>
      <w:r w:rsidR="0033733D">
        <w:rPr>
          <w:lang w:val="en-US"/>
        </w:rPr>
        <w:t xml:space="preserve">if any </w:t>
      </w:r>
      <w:r w:rsidR="00551A79">
        <w:rPr>
          <w:lang w:val="en-US"/>
        </w:rPr>
        <w:t>companie</w:t>
      </w:r>
      <w:r w:rsidR="006C476D">
        <w:rPr>
          <w:lang w:val="en-US"/>
        </w:rPr>
        <w:t>s</w:t>
      </w:r>
      <w:r w:rsidR="00551A79" w:rsidRPr="005F3786">
        <w:rPr>
          <w:lang w:val="en-US"/>
        </w:rPr>
        <w:t xml:space="preserve"> violate international norms and standards, or the </w:t>
      </w:r>
      <w:r w:rsidR="006C476D">
        <w:rPr>
          <w:lang w:val="en-US"/>
        </w:rPr>
        <w:t>Fund’s</w:t>
      </w:r>
      <w:r w:rsidR="00551A79" w:rsidRPr="005F3786">
        <w:rPr>
          <w:lang w:val="en-US"/>
        </w:rPr>
        <w:t xml:space="preserve"> thematic- or product-based ESG positions.</w:t>
      </w:r>
      <w:r w:rsidR="006115EB">
        <w:rPr>
          <w:lang w:val="en-US"/>
        </w:rPr>
        <w:t xml:space="preserve"> </w:t>
      </w:r>
      <w:r w:rsidR="00026211">
        <w:rPr>
          <w:lang w:val="en-US"/>
        </w:rPr>
        <w:t xml:space="preserve">In case </w:t>
      </w:r>
      <w:r w:rsidR="000D0E75">
        <w:rPr>
          <w:lang w:val="en-US"/>
        </w:rPr>
        <w:t>violations</w:t>
      </w:r>
      <w:r w:rsidR="00EE4362">
        <w:rPr>
          <w:lang w:val="en-US"/>
        </w:rPr>
        <w:t xml:space="preserve"> of</w:t>
      </w:r>
      <w:r w:rsidR="000D0E75">
        <w:rPr>
          <w:lang w:val="en-US"/>
        </w:rPr>
        <w:t xml:space="preserve"> </w:t>
      </w:r>
      <w:r w:rsidR="00EE4362" w:rsidRPr="005F3786">
        <w:rPr>
          <w:lang w:val="en-US"/>
        </w:rPr>
        <w:t>international norms and standards</w:t>
      </w:r>
      <w:r w:rsidR="00EE4362">
        <w:rPr>
          <w:lang w:val="en-US"/>
        </w:rPr>
        <w:t xml:space="preserve"> </w:t>
      </w:r>
      <w:r w:rsidR="000D0E75">
        <w:rPr>
          <w:lang w:val="en-US"/>
        </w:rPr>
        <w:t>it’s also the service provider that</w:t>
      </w:r>
      <w:r w:rsidR="00EE4362">
        <w:rPr>
          <w:lang w:val="en-US"/>
        </w:rPr>
        <w:t xml:space="preserve"> via </w:t>
      </w:r>
      <w:r w:rsidR="000A0281">
        <w:rPr>
          <w:lang w:val="en-US"/>
        </w:rPr>
        <w:t>ISS,</w:t>
      </w:r>
      <w:r w:rsidR="00EE4362" w:rsidRPr="005F3786">
        <w:rPr>
          <w:lang w:val="en-US"/>
        </w:rPr>
        <w:t xml:space="preserve"> initiates formal engagements</w:t>
      </w:r>
      <w:r w:rsidR="00EE4362">
        <w:rPr>
          <w:lang w:val="en-US"/>
        </w:rPr>
        <w:t>.</w:t>
      </w:r>
      <w:r w:rsidR="006115EB">
        <w:rPr>
          <w:lang w:val="en-US"/>
        </w:rPr>
        <w:t xml:space="preserve"> </w:t>
      </w:r>
      <w:r w:rsidR="007826F1">
        <w:rPr>
          <w:lang w:val="en-US"/>
        </w:rPr>
        <w:t xml:space="preserve">If </w:t>
      </w:r>
      <w:r w:rsidR="00996DF1">
        <w:rPr>
          <w:lang w:val="en-US"/>
        </w:rPr>
        <w:t>information is provided about violations of the Fund’s ESG</w:t>
      </w:r>
      <w:r w:rsidR="002D4A14">
        <w:rPr>
          <w:lang w:val="en-US"/>
        </w:rPr>
        <w:t>-</w:t>
      </w:r>
      <w:r w:rsidR="000A0281">
        <w:rPr>
          <w:lang w:val="en-US"/>
        </w:rPr>
        <w:t>positions,</w:t>
      </w:r>
      <w:r w:rsidR="00996DF1">
        <w:rPr>
          <w:lang w:val="en-US"/>
        </w:rPr>
        <w:t xml:space="preserve"> </w:t>
      </w:r>
      <w:r w:rsidR="002D4A14">
        <w:rPr>
          <w:lang w:val="en-US"/>
        </w:rPr>
        <w:t xml:space="preserve">it is </w:t>
      </w:r>
      <w:r w:rsidR="005F3786" w:rsidRPr="005F3786">
        <w:rPr>
          <w:lang w:val="en-US"/>
        </w:rPr>
        <w:t xml:space="preserve">St. Petri Capital </w:t>
      </w:r>
      <w:r w:rsidR="002D4A14">
        <w:rPr>
          <w:lang w:val="en-US"/>
        </w:rPr>
        <w:t xml:space="preserve">that </w:t>
      </w:r>
      <w:r w:rsidR="005F3786" w:rsidRPr="005F3786">
        <w:rPr>
          <w:lang w:val="en-US"/>
        </w:rPr>
        <w:t>assesses whether</w:t>
      </w:r>
      <w:r w:rsidR="0066662C">
        <w:rPr>
          <w:lang w:val="en-US"/>
        </w:rPr>
        <w:t xml:space="preserve"> </w:t>
      </w:r>
      <w:r w:rsidR="005F3786" w:rsidRPr="005F3786">
        <w:rPr>
          <w:lang w:val="en-US"/>
        </w:rPr>
        <w:t>a formal engagement should be initiated.</w:t>
      </w:r>
      <w:r w:rsidR="00F257AE">
        <w:rPr>
          <w:lang w:val="en-US"/>
        </w:rPr>
        <w:t xml:space="preserve"> </w:t>
      </w:r>
    </w:p>
    <w:p w14:paraId="12DB312E" w14:textId="5747A854" w:rsidR="005F3786" w:rsidRDefault="005F3786" w:rsidP="005F3786">
      <w:pPr>
        <w:rPr>
          <w:lang w:val="en-US"/>
        </w:rPr>
      </w:pPr>
      <w:r w:rsidRPr="005F3786">
        <w:rPr>
          <w:lang w:val="en-US"/>
        </w:rPr>
        <w:t xml:space="preserve">The </w:t>
      </w:r>
      <w:r w:rsidR="00E16F22">
        <w:rPr>
          <w:lang w:val="en-US"/>
        </w:rPr>
        <w:t>evolvement</w:t>
      </w:r>
      <w:r w:rsidRPr="005F3786">
        <w:rPr>
          <w:lang w:val="en-US"/>
        </w:rPr>
        <w:t xml:space="preserve"> in the </w:t>
      </w:r>
      <w:r w:rsidR="00E16F22">
        <w:rPr>
          <w:lang w:val="en-US"/>
        </w:rPr>
        <w:t>Fund’s</w:t>
      </w:r>
      <w:r w:rsidRPr="005F3786">
        <w:rPr>
          <w:lang w:val="en-US"/>
        </w:rPr>
        <w:t xml:space="preserve"> ESG</w:t>
      </w:r>
      <w:r w:rsidR="00A770AA">
        <w:rPr>
          <w:lang w:val="en-US"/>
        </w:rPr>
        <w:t>-</w:t>
      </w:r>
      <w:r w:rsidRPr="005F3786">
        <w:rPr>
          <w:lang w:val="en-US"/>
        </w:rPr>
        <w:t>risk</w:t>
      </w:r>
      <w:r w:rsidR="00A770AA">
        <w:rPr>
          <w:lang w:val="en-US"/>
        </w:rPr>
        <w:t>-</w:t>
      </w:r>
      <w:r w:rsidRPr="005F3786">
        <w:rPr>
          <w:lang w:val="en-US"/>
        </w:rPr>
        <w:t>score and ESG</w:t>
      </w:r>
      <w:r w:rsidR="00A770AA">
        <w:rPr>
          <w:lang w:val="en-US"/>
        </w:rPr>
        <w:t>-</w:t>
      </w:r>
      <w:r w:rsidRPr="005F3786">
        <w:rPr>
          <w:lang w:val="en-US"/>
        </w:rPr>
        <w:t>impact</w:t>
      </w:r>
      <w:r w:rsidR="00A770AA">
        <w:rPr>
          <w:lang w:val="en-US"/>
        </w:rPr>
        <w:t>-</w:t>
      </w:r>
      <w:r w:rsidRPr="005F3786">
        <w:rPr>
          <w:lang w:val="en-US"/>
        </w:rPr>
        <w:t xml:space="preserve">score </w:t>
      </w:r>
      <w:r w:rsidR="001C70C3">
        <w:rPr>
          <w:lang w:val="en-US"/>
        </w:rPr>
        <w:t xml:space="preserve">are </w:t>
      </w:r>
      <w:r w:rsidRPr="005F3786">
        <w:rPr>
          <w:lang w:val="en-US"/>
        </w:rPr>
        <w:t xml:space="preserve">monitored every six months by St. Petri Capital. </w:t>
      </w:r>
      <w:r w:rsidR="00B22F56">
        <w:rPr>
          <w:lang w:val="en-US"/>
        </w:rPr>
        <w:t xml:space="preserve">The aim is to ensure that focus is on sustaining a positive development in both scores over </w:t>
      </w:r>
      <w:r w:rsidRPr="005F3786">
        <w:rPr>
          <w:lang w:val="en-US"/>
        </w:rPr>
        <w:t>three-year cycles.</w:t>
      </w:r>
    </w:p>
    <w:p w14:paraId="7DFA7A03" w14:textId="6CC5F986" w:rsidR="005F3786" w:rsidRDefault="00164048" w:rsidP="005F3786">
      <w:pPr>
        <w:rPr>
          <w:lang w:val="en-US"/>
        </w:rPr>
      </w:pPr>
      <w:r w:rsidRPr="005F3786">
        <w:rPr>
          <w:lang w:val="en-US"/>
        </w:rPr>
        <w:t>To</w:t>
      </w:r>
      <w:r w:rsidR="005F3786" w:rsidRPr="005F3786">
        <w:rPr>
          <w:lang w:val="en-US"/>
        </w:rPr>
        <w:t xml:space="preserve"> limit long </w:t>
      </w:r>
      <w:r w:rsidR="00916B23">
        <w:rPr>
          <w:lang w:val="en-US"/>
        </w:rPr>
        <w:t>positions</w:t>
      </w:r>
      <w:r w:rsidR="005F3786" w:rsidRPr="005F3786">
        <w:rPr>
          <w:lang w:val="en-US"/>
        </w:rPr>
        <w:t xml:space="preserve"> with an increased ESG risk, the ESG</w:t>
      </w:r>
      <w:r w:rsidR="00916B23">
        <w:rPr>
          <w:lang w:val="en-US"/>
        </w:rPr>
        <w:t>-</w:t>
      </w:r>
      <w:r w:rsidR="005F3786" w:rsidRPr="005F3786">
        <w:rPr>
          <w:lang w:val="en-US"/>
        </w:rPr>
        <w:t>risk</w:t>
      </w:r>
      <w:r w:rsidR="00916B23">
        <w:rPr>
          <w:lang w:val="en-US"/>
        </w:rPr>
        <w:t>-</w:t>
      </w:r>
      <w:r w:rsidR="005F3786" w:rsidRPr="005F3786">
        <w:rPr>
          <w:lang w:val="en-US"/>
        </w:rPr>
        <w:t xml:space="preserve">score of the individual companies is reviewed </w:t>
      </w:r>
      <w:r w:rsidR="0051036D">
        <w:rPr>
          <w:lang w:val="en-US"/>
        </w:rPr>
        <w:t xml:space="preserve">on a </w:t>
      </w:r>
      <w:r w:rsidR="001A594A">
        <w:rPr>
          <w:lang w:val="en-US"/>
        </w:rPr>
        <w:t xml:space="preserve">continual basis. </w:t>
      </w:r>
    </w:p>
    <w:p w14:paraId="41E1C3F1" w14:textId="337D9EF3" w:rsidR="00CB72F4" w:rsidRDefault="00455191" w:rsidP="005F3786">
      <w:pPr>
        <w:rPr>
          <w:lang w:val="en-US"/>
        </w:rPr>
      </w:pPr>
      <w:r>
        <w:rPr>
          <w:lang w:val="en-US"/>
        </w:rPr>
        <w:t xml:space="preserve">The Fund reports on the </w:t>
      </w:r>
      <w:r w:rsidR="00327E0F">
        <w:rPr>
          <w:lang w:val="en-US"/>
        </w:rPr>
        <w:t xml:space="preserve">sustainability indicators </w:t>
      </w:r>
      <w:r>
        <w:rPr>
          <w:lang w:val="en-US"/>
        </w:rPr>
        <w:t xml:space="preserve">yearly. </w:t>
      </w:r>
    </w:p>
    <w:p w14:paraId="55E39A46" w14:textId="77777777" w:rsidR="001A594A" w:rsidRDefault="001A594A" w:rsidP="005F3786">
      <w:pPr>
        <w:rPr>
          <w:lang w:val="en-US"/>
        </w:rPr>
      </w:pPr>
    </w:p>
    <w:p w14:paraId="12F02ED3" w14:textId="6ECCF1EA" w:rsidR="002A35C3" w:rsidRPr="00804C92" w:rsidRDefault="002A35C3" w:rsidP="005F3786">
      <w:pPr>
        <w:rPr>
          <w:u w:val="single"/>
          <w:lang w:val="en-US"/>
        </w:rPr>
      </w:pPr>
      <w:r w:rsidRPr="00804C92">
        <w:rPr>
          <w:u w:val="single"/>
          <w:lang w:val="en-US"/>
        </w:rPr>
        <w:t>Methodologies</w:t>
      </w:r>
    </w:p>
    <w:p w14:paraId="3C5D1828" w14:textId="13646BF2" w:rsidR="00804C92" w:rsidRPr="00804C92" w:rsidRDefault="00804C92" w:rsidP="00804C92">
      <w:pPr>
        <w:rPr>
          <w:lang w:val="en-US"/>
        </w:rPr>
      </w:pPr>
      <w:r w:rsidRPr="00804C92">
        <w:rPr>
          <w:lang w:val="en-US"/>
        </w:rPr>
        <w:t xml:space="preserve">St. Petri Capital's investment </w:t>
      </w:r>
      <w:r w:rsidR="003947E4">
        <w:rPr>
          <w:lang w:val="en-US"/>
        </w:rPr>
        <w:t>service provider</w:t>
      </w:r>
      <w:r w:rsidRPr="00804C92">
        <w:rPr>
          <w:lang w:val="en-US"/>
        </w:rPr>
        <w:t xml:space="preserve"> maintains, via SEB, an exclusion list of companies that violate international conventions such as, but not limited to, the UN Global Compact, the OECD Guidelines for Multinational </w:t>
      </w:r>
      <w:r w:rsidR="003A108E" w:rsidRPr="00804C92">
        <w:rPr>
          <w:lang w:val="en-US"/>
        </w:rPr>
        <w:t>Enterprises,</w:t>
      </w:r>
      <w:r w:rsidRPr="00804C92">
        <w:rPr>
          <w:lang w:val="en-US"/>
        </w:rPr>
        <w:t xml:space="preserve"> and the UN's Declaration of Human Rights. AKL St. Petri L/S I's portfolio is monitored daily for companies</w:t>
      </w:r>
      <w:r w:rsidR="00684A67">
        <w:rPr>
          <w:lang w:val="en-US"/>
        </w:rPr>
        <w:t xml:space="preserve"> </w:t>
      </w:r>
      <w:r w:rsidRPr="00804C92">
        <w:rPr>
          <w:lang w:val="en-US"/>
        </w:rPr>
        <w:t>on this list.</w:t>
      </w:r>
    </w:p>
    <w:p w14:paraId="5A747C23" w14:textId="42F515CD" w:rsidR="00804C92" w:rsidRPr="00804C92" w:rsidRDefault="00804C92" w:rsidP="00804C92">
      <w:pPr>
        <w:rPr>
          <w:lang w:val="en-US"/>
        </w:rPr>
      </w:pPr>
      <w:r w:rsidRPr="00804C92">
        <w:rPr>
          <w:lang w:val="en-US"/>
        </w:rPr>
        <w:t xml:space="preserve">Companies that are not on the exclusion </w:t>
      </w:r>
      <w:r w:rsidR="00185CC0" w:rsidRPr="00804C92">
        <w:rPr>
          <w:lang w:val="en-US"/>
        </w:rPr>
        <w:t>list but</w:t>
      </w:r>
      <w:r w:rsidRPr="00804C92">
        <w:rPr>
          <w:lang w:val="en-US"/>
        </w:rPr>
        <w:t xml:space="preserve"> </w:t>
      </w:r>
      <w:r w:rsidR="000A5109">
        <w:rPr>
          <w:lang w:val="en-US"/>
        </w:rPr>
        <w:t xml:space="preserve">are in </w:t>
      </w:r>
      <w:r w:rsidR="00185CC0">
        <w:rPr>
          <w:lang w:val="en-US"/>
        </w:rPr>
        <w:t xml:space="preserve">breach of </w:t>
      </w:r>
      <w:r w:rsidRPr="00804C92">
        <w:rPr>
          <w:lang w:val="en-US"/>
        </w:rPr>
        <w:t xml:space="preserve">one or more of the above </w:t>
      </w:r>
      <w:r w:rsidR="00F7416F" w:rsidRPr="00804C92">
        <w:rPr>
          <w:lang w:val="en-US"/>
        </w:rPr>
        <w:t>conventions</w:t>
      </w:r>
      <w:r w:rsidRPr="00804C92">
        <w:rPr>
          <w:lang w:val="en-US"/>
        </w:rPr>
        <w:t xml:space="preserve"> are included on an internal observation list. The companies are described as norm-breakers. A dialogue is sought with these companies with </w:t>
      </w:r>
      <w:r w:rsidR="000F0885">
        <w:rPr>
          <w:lang w:val="en-US"/>
        </w:rPr>
        <w:t xml:space="preserve">the aim </w:t>
      </w:r>
      <w:r w:rsidR="00D00B0F">
        <w:rPr>
          <w:lang w:val="en-US"/>
        </w:rPr>
        <w:t>of clarifying</w:t>
      </w:r>
      <w:r w:rsidR="00512634">
        <w:rPr>
          <w:lang w:val="en-US"/>
        </w:rPr>
        <w:t xml:space="preserve"> the situation</w:t>
      </w:r>
      <w:r w:rsidRPr="00804C92">
        <w:rPr>
          <w:lang w:val="en-US"/>
        </w:rPr>
        <w:t>, including the will to bring the problematic conditions to an end. If satisfactory results are not achieved from the dialogue, the companies can ultimately be added to the exclusion list.</w:t>
      </w:r>
    </w:p>
    <w:p w14:paraId="73D15584" w14:textId="4CF2C6B9" w:rsidR="00C70D0A" w:rsidRDefault="00804C92" w:rsidP="00804C92">
      <w:pPr>
        <w:rPr>
          <w:lang w:val="en-US"/>
        </w:rPr>
      </w:pPr>
      <w:r w:rsidRPr="00804C92">
        <w:rPr>
          <w:lang w:val="en-US"/>
        </w:rPr>
        <w:t xml:space="preserve">At the end of the year, </w:t>
      </w:r>
      <w:r w:rsidR="00E36180" w:rsidRPr="00804C92">
        <w:rPr>
          <w:lang w:val="en-US"/>
        </w:rPr>
        <w:t xml:space="preserve">St. </w:t>
      </w:r>
      <w:r w:rsidRPr="00804C92">
        <w:rPr>
          <w:lang w:val="en-US"/>
        </w:rPr>
        <w:t xml:space="preserve">Petri Capital requests the </w:t>
      </w:r>
      <w:r w:rsidR="007011E9">
        <w:rPr>
          <w:lang w:val="en-US"/>
        </w:rPr>
        <w:t>service provider</w:t>
      </w:r>
      <w:r w:rsidR="00860538">
        <w:rPr>
          <w:lang w:val="en-US"/>
        </w:rPr>
        <w:t xml:space="preserve"> to provide </w:t>
      </w:r>
      <w:r w:rsidR="00C70D0A">
        <w:rPr>
          <w:lang w:val="en-US"/>
        </w:rPr>
        <w:t xml:space="preserve">a list with </w:t>
      </w:r>
      <w:r w:rsidRPr="00804C92">
        <w:rPr>
          <w:lang w:val="en-US"/>
        </w:rPr>
        <w:t xml:space="preserve">the companies </w:t>
      </w:r>
      <w:r w:rsidR="00C70D0A">
        <w:rPr>
          <w:lang w:val="en-US"/>
        </w:rPr>
        <w:t xml:space="preserve">for </w:t>
      </w:r>
      <w:r w:rsidRPr="00804C92">
        <w:rPr>
          <w:lang w:val="en-US"/>
        </w:rPr>
        <w:t>which engagement</w:t>
      </w:r>
      <w:r w:rsidR="00C70D0A">
        <w:rPr>
          <w:lang w:val="en-US"/>
        </w:rPr>
        <w:t>s</w:t>
      </w:r>
      <w:r w:rsidRPr="00804C92">
        <w:rPr>
          <w:lang w:val="en-US"/>
        </w:rPr>
        <w:t xml:space="preserve"> has begun. St. Petri Capital keeps regular accounts of the engagements that are initiated independently.</w:t>
      </w:r>
    </w:p>
    <w:p w14:paraId="25723C5F" w14:textId="40CA953A" w:rsidR="00CB72F4" w:rsidRDefault="00C70D0A" w:rsidP="00804C92">
      <w:pPr>
        <w:rPr>
          <w:lang w:val="en-US"/>
        </w:rPr>
      </w:pPr>
      <w:r>
        <w:rPr>
          <w:lang w:val="en-US"/>
        </w:rPr>
        <w:t>R</w:t>
      </w:r>
      <w:r w:rsidR="00804C92" w:rsidRPr="00804C92">
        <w:rPr>
          <w:lang w:val="en-US"/>
        </w:rPr>
        <w:t>eporting takes place annually.</w:t>
      </w:r>
    </w:p>
    <w:p w14:paraId="50A1ADEC" w14:textId="5BF2600B" w:rsidR="00730BA4" w:rsidRPr="00FA7900" w:rsidRDefault="00730BA4" w:rsidP="00730BA4">
      <w:pPr>
        <w:rPr>
          <w:lang w:val="en-US"/>
        </w:rPr>
      </w:pPr>
      <w:r w:rsidRPr="00FA7900">
        <w:rPr>
          <w:lang w:val="en-US"/>
        </w:rPr>
        <w:t>St. Petri Capital uses</w:t>
      </w:r>
      <w:r w:rsidR="00AB78ED">
        <w:rPr>
          <w:lang w:val="en-US"/>
        </w:rPr>
        <w:t xml:space="preserve"> </w:t>
      </w:r>
      <w:r>
        <w:rPr>
          <w:lang w:val="en-US"/>
        </w:rPr>
        <w:t>the</w:t>
      </w:r>
      <w:r w:rsidRPr="00FA7900">
        <w:rPr>
          <w:lang w:val="en-US"/>
        </w:rPr>
        <w:t xml:space="preserve"> private ESG</w:t>
      </w:r>
      <w:r w:rsidR="002058D1">
        <w:rPr>
          <w:lang w:val="en-US"/>
        </w:rPr>
        <w:t xml:space="preserve"> vendor</w:t>
      </w:r>
      <w:r w:rsidRPr="00FA7900">
        <w:rPr>
          <w:lang w:val="en-US"/>
        </w:rPr>
        <w:t xml:space="preserve"> Clarity AI to deliver data and ESG</w:t>
      </w:r>
      <w:r w:rsidR="00840370">
        <w:rPr>
          <w:lang w:val="en-US"/>
        </w:rPr>
        <w:t>-</w:t>
      </w:r>
      <w:r w:rsidRPr="00FA7900">
        <w:rPr>
          <w:lang w:val="en-US"/>
        </w:rPr>
        <w:t>risk</w:t>
      </w:r>
      <w:r w:rsidR="00840370">
        <w:rPr>
          <w:lang w:val="en-US"/>
        </w:rPr>
        <w:t>-</w:t>
      </w:r>
      <w:r w:rsidRPr="00FA7900">
        <w:rPr>
          <w:lang w:val="en-US"/>
        </w:rPr>
        <w:t>scores as well as ESG</w:t>
      </w:r>
      <w:r w:rsidR="00840370">
        <w:rPr>
          <w:lang w:val="en-US"/>
        </w:rPr>
        <w:t>-</w:t>
      </w:r>
      <w:r w:rsidRPr="00FA7900">
        <w:rPr>
          <w:lang w:val="en-US"/>
        </w:rPr>
        <w:t>impact</w:t>
      </w:r>
      <w:r w:rsidR="00840370">
        <w:rPr>
          <w:lang w:val="en-US"/>
        </w:rPr>
        <w:t>-</w:t>
      </w:r>
      <w:r w:rsidRPr="00FA7900">
        <w:rPr>
          <w:lang w:val="en-US"/>
        </w:rPr>
        <w:t>scores, etc. for the assessment of our fund. The data can be supplemented with own collected data and analyzes to the extent deemed necessary.</w:t>
      </w:r>
    </w:p>
    <w:p w14:paraId="2E1BC9B5" w14:textId="53BF17B1" w:rsidR="00FA7900" w:rsidRDefault="00AB78ED" w:rsidP="00FA7900">
      <w:pPr>
        <w:rPr>
          <w:lang w:val="en-US"/>
        </w:rPr>
      </w:pPr>
      <w:r>
        <w:rPr>
          <w:lang w:val="en-US"/>
        </w:rPr>
        <w:lastRenderedPageBreak/>
        <w:t>T</w:t>
      </w:r>
      <w:r w:rsidR="00FA7900" w:rsidRPr="00FA7900">
        <w:rPr>
          <w:lang w:val="en-US"/>
        </w:rPr>
        <w:t>he ESG</w:t>
      </w:r>
      <w:r w:rsidR="00C964F5">
        <w:rPr>
          <w:lang w:val="en-US"/>
        </w:rPr>
        <w:t>-</w:t>
      </w:r>
      <w:r w:rsidR="00FA7900" w:rsidRPr="00FA7900">
        <w:rPr>
          <w:lang w:val="en-US"/>
        </w:rPr>
        <w:t>impact</w:t>
      </w:r>
      <w:r w:rsidR="00C964F5">
        <w:rPr>
          <w:lang w:val="en-US"/>
        </w:rPr>
        <w:t>-</w:t>
      </w:r>
      <w:r w:rsidR="00FA7900" w:rsidRPr="00FA7900">
        <w:rPr>
          <w:lang w:val="en-US"/>
        </w:rPr>
        <w:t xml:space="preserve">score measures how a company's operations affect the environment and society. A company's overall score is calculated by calculating its total impact on the social, environmental and </w:t>
      </w:r>
      <w:r w:rsidR="00424522">
        <w:rPr>
          <w:lang w:val="en-US"/>
        </w:rPr>
        <w:t>governance</w:t>
      </w:r>
      <w:r w:rsidR="00FA7900" w:rsidRPr="00FA7900">
        <w:rPr>
          <w:lang w:val="en-US"/>
        </w:rPr>
        <w:t xml:space="preserve"> challenges that society faces. </w:t>
      </w:r>
      <w:r w:rsidR="00DC0062">
        <w:rPr>
          <w:lang w:val="en-US"/>
        </w:rPr>
        <w:t>T</w:t>
      </w:r>
      <w:r w:rsidR="00FA7900" w:rsidRPr="00FA7900">
        <w:rPr>
          <w:lang w:val="en-US"/>
        </w:rPr>
        <w:t>he companies</w:t>
      </w:r>
      <w:r w:rsidR="00DC0062">
        <w:rPr>
          <w:lang w:val="en-US"/>
        </w:rPr>
        <w:t>’</w:t>
      </w:r>
      <w:r w:rsidR="00FA7900" w:rsidRPr="00FA7900">
        <w:rPr>
          <w:lang w:val="en-US"/>
        </w:rPr>
        <w:t xml:space="preserve"> operations</w:t>
      </w:r>
      <w:r w:rsidR="00DC0062">
        <w:rPr>
          <w:lang w:val="en-US"/>
        </w:rPr>
        <w:t xml:space="preserve"> are scored</w:t>
      </w:r>
      <w:r w:rsidR="00FA7900" w:rsidRPr="00FA7900">
        <w:rPr>
          <w:lang w:val="en-US"/>
        </w:rPr>
        <w:t xml:space="preserve"> on nine different impact </w:t>
      </w:r>
      <w:r w:rsidR="00B0529E">
        <w:rPr>
          <w:lang w:val="en-US"/>
        </w:rPr>
        <w:t>metrics</w:t>
      </w:r>
      <w:r w:rsidR="00FA7900" w:rsidRPr="00FA7900">
        <w:rPr>
          <w:lang w:val="en-US"/>
        </w:rPr>
        <w:t xml:space="preserve">. Each </w:t>
      </w:r>
      <w:r w:rsidR="007F2861">
        <w:rPr>
          <w:lang w:val="en-US"/>
        </w:rPr>
        <w:t xml:space="preserve">metric </w:t>
      </w:r>
      <w:r w:rsidR="00FA7900" w:rsidRPr="00FA7900">
        <w:rPr>
          <w:lang w:val="en-US"/>
        </w:rPr>
        <w:t>is scored on a scale from 0-100, and</w:t>
      </w:r>
      <w:r w:rsidR="009E717E">
        <w:rPr>
          <w:lang w:val="en-US"/>
        </w:rPr>
        <w:t xml:space="preserve"> the performance</w:t>
      </w:r>
      <w:r w:rsidR="00FA7900" w:rsidRPr="00FA7900">
        <w:rPr>
          <w:lang w:val="en-US"/>
        </w:rPr>
        <w:t xml:space="preserve"> is </w:t>
      </w:r>
      <w:r w:rsidR="00C50B40">
        <w:rPr>
          <w:lang w:val="en-US"/>
        </w:rPr>
        <w:t xml:space="preserve">ranked against a </w:t>
      </w:r>
      <w:r w:rsidR="00235652">
        <w:rPr>
          <w:lang w:val="en-US"/>
        </w:rPr>
        <w:t>company peer group.</w:t>
      </w:r>
      <w:r w:rsidR="00FA7900" w:rsidRPr="00FA7900">
        <w:rPr>
          <w:lang w:val="en-US"/>
        </w:rPr>
        <w:t xml:space="preserve"> The total company score is then calculated</w:t>
      </w:r>
      <w:r w:rsidR="00D31459">
        <w:rPr>
          <w:lang w:val="en-US"/>
        </w:rPr>
        <w:t>,</w:t>
      </w:r>
      <w:r w:rsidR="00FA7900" w:rsidRPr="00FA7900">
        <w:rPr>
          <w:lang w:val="en-US"/>
        </w:rPr>
        <w:t xml:space="preserve"> and finally a total portfolio score.</w:t>
      </w:r>
    </w:p>
    <w:p w14:paraId="29053A9E" w14:textId="3A346305" w:rsidR="00A93182" w:rsidRPr="00A93182" w:rsidRDefault="00A93182" w:rsidP="00A93182">
      <w:pPr>
        <w:rPr>
          <w:lang w:val="en-US"/>
        </w:rPr>
      </w:pPr>
      <w:r w:rsidRPr="00A93182">
        <w:rPr>
          <w:lang w:val="en-US"/>
        </w:rPr>
        <w:t>The ESG</w:t>
      </w:r>
      <w:r w:rsidR="00944E83">
        <w:rPr>
          <w:lang w:val="en-US"/>
        </w:rPr>
        <w:t>-</w:t>
      </w:r>
      <w:r w:rsidRPr="00A93182">
        <w:rPr>
          <w:lang w:val="en-US"/>
        </w:rPr>
        <w:t>risk</w:t>
      </w:r>
      <w:r w:rsidR="00944E83">
        <w:rPr>
          <w:lang w:val="en-US"/>
        </w:rPr>
        <w:t>-</w:t>
      </w:r>
      <w:r w:rsidRPr="00A93182">
        <w:rPr>
          <w:lang w:val="en-US"/>
        </w:rPr>
        <w:t xml:space="preserve">score </w:t>
      </w:r>
      <w:r w:rsidR="00DA22E6">
        <w:rPr>
          <w:lang w:val="en-US"/>
        </w:rPr>
        <w:t xml:space="preserve">is used to identify the material </w:t>
      </w:r>
      <w:r w:rsidRPr="00A93182">
        <w:rPr>
          <w:lang w:val="en-US"/>
        </w:rPr>
        <w:t xml:space="preserve">social, environmental and </w:t>
      </w:r>
      <w:r w:rsidR="00A516E8">
        <w:rPr>
          <w:lang w:val="en-US"/>
        </w:rPr>
        <w:t>governance</w:t>
      </w:r>
      <w:r w:rsidRPr="00A93182">
        <w:rPr>
          <w:lang w:val="en-US"/>
        </w:rPr>
        <w:t xml:space="preserve"> risk factors that can affect a company's and a portfolio's value. The companies' ESG performance is scored on 115 different ESG </w:t>
      </w:r>
      <w:r w:rsidR="00A516E8">
        <w:rPr>
          <w:lang w:val="en-US"/>
        </w:rPr>
        <w:t>metrics</w:t>
      </w:r>
      <w:r w:rsidRPr="00A93182">
        <w:rPr>
          <w:lang w:val="en-US"/>
        </w:rPr>
        <w:t xml:space="preserve">. Each </w:t>
      </w:r>
      <w:r w:rsidR="005D62C6">
        <w:rPr>
          <w:lang w:val="en-US"/>
        </w:rPr>
        <w:t>metric</w:t>
      </w:r>
      <w:r w:rsidRPr="00A93182">
        <w:rPr>
          <w:lang w:val="en-US"/>
        </w:rPr>
        <w:t xml:space="preserve"> is scored on a scale from 0-100, and</w:t>
      </w:r>
      <w:r w:rsidR="005D62C6">
        <w:rPr>
          <w:lang w:val="en-US"/>
        </w:rPr>
        <w:t xml:space="preserve"> the performance</w:t>
      </w:r>
      <w:r w:rsidRPr="00A93182">
        <w:rPr>
          <w:lang w:val="en-US"/>
        </w:rPr>
        <w:t xml:space="preserve"> is ranked </w:t>
      </w:r>
      <w:r w:rsidR="000D07C1">
        <w:rPr>
          <w:lang w:val="en-US"/>
        </w:rPr>
        <w:t>against a company peer grou</w:t>
      </w:r>
      <w:r w:rsidR="00772A41">
        <w:rPr>
          <w:lang w:val="en-US"/>
        </w:rPr>
        <w:t>p</w:t>
      </w:r>
      <w:r w:rsidRPr="00A93182">
        <w:rPr>
          <w:lang w:val="en-US"/>
        </w:rPr>
        <w:t xml:space="preserve">. The total company score is then calculated and finally </w:t>
      </w:r>
      <w:r w:rsidRPr="00701334">
        <w:rPr>
          <w:lang w:val="en-US"/>
        </w:rPr>
        <w:t>a</w:t>
      </w:r>
      <w:r w:rsidRPr="00A93182">
        <w:rPr>
          <w:lang w:val="en-US"/>
        </w:rPr>
        <w:t xml:space="preserve"> total portfolio score.</w:t>
      </w:r>
    </w:p>
    <w:p w14:paraId="48A67B91" w14:textId="4EA386C9" w:rsidR="00A93182" w:rsidRPr="0051036D" w:rsidRDefault="00A93182" w:rsidP="00A93182">
      <w:pPr>
        <w:rPr>
          <w:lang w:val="en-US"/>
        </w:rPr>
      </w:pPr>
      <w:r w:rsidRPr="0051036D">
        <w:rPr>
          <w:lang w:val="en-US"/>
        </w:rPr>
        <w:t>At year</w:t>
      </w:r>
      <w:r w:rsidR="00772A41" w:rsidRPr="0051036D">
        <w:rPr>
          <w:lang w:val="en-US"/>
        </w:rPr>
        <w:t xml:space="preserve"> end</w:t>
      </w:r>
      <w:r w:rsidRPr="0051036D">
        <w:rPr>
          <w:lang w:val="en-US"/>
        </w:rPr>
        <w:t xml:space="preserve">, the portfolio's total ESG risk score and ESG impact score are reported </w:t>
      </w:r>
      <w:r w:rsidR="00320084" w:rsidRPr="0051036D">
        <w:rPr>
          <w:lang w:val="en-US"/>
        </w:rPr>
        <w:t>to</w:t>
      </w:r>
      <w:r w:rsidRPr="0051036D">
        <w:rPr>
          <w:lang w:val="en-US"/>
        </w:rPr>
        <w:t xml:space="preserve"> create transparency </w:t>
      </w:r>
      <w:r w:rsidR="0051036D" w:rsidRPr="0051036D">
        <w:rPr>
          <w:lang w:val="en-US"/>
        </w:rPr>
        <w:t>on</w:t>
      </w:r>
      <w:r w:rsidRPr="0051036D">
        <w:rPr>
          <w:lang w:val="en-US"/>
        </w:rPr>
        <w:t xml:space="preserve"> the </w:t>
      </w:r>
      <w:r w:rsidR="00045FC6" w:rsidRPr="0051036D">
        <w:rPr>
          <w:lang w:val="en-US"/>
        </w:rPr>
        <w:t>deve</w:t>
      </w:r>
      <w:r w:rsidR="0051036D" w:rsidRPr="0051036D">
        <w:rPr>
          <w:lang w:val="en-US"/>
        </w:rPr>
        <w:t>lopment</w:t>
      </w:r>
      <w:r w:rsidRPr="0051036D">
        <w:rPr>
          <w:lang w:val="en-US"/>
        </w:rPr>
        <w:t xml:space="preserve"> of the two scores over three-year cycles.</w:t>
      </w:r>
    </w:p>
    <w:p w14:paraId="110124C9" w14:textId="3F342772" w:rsidR="00A93182" w:rsidRDefault="00CF2D74" w:rsidP="00A93182">
      <w:pPr>
        <w:rPr>
          <w:lang w:val="en-US"/>
        </w:rPr>
      </w:pPr>
      <w:r w:rsidRPr="00A93182">
        <w:rPr>
          <w:lang w:val="en-US"/>
        </w:rPr>
        <w:t>To</w:t>
      </w:r>
      <w:r w:rsidR="00A93182" w:rsidRPr="00A93182">
        <w:rPr>
          <w:lang w:val="en-US"/>
        </w:rPr>
        <w:t xml:space="preserve"> limit long </w:t>
      </w:r>
      <w:r w:rsidR="00FA5A47">
        <w:rPr>
          <w:lang w:val="en-US"/>
        </w:rPr>
        <w:t>exposure</w:t>
      </w:r>
      <w:r w:rsidR="00A93182" w:rsidRPr="00A93182">
        <w:rPr>
          <w:lang w:val="en-US"/>
        </w:rPr>
        <w:t xml:space="preserve"> in companies with an elevated ESG risk profile, all companies are scored from 0-100 on 115 ESG </w:t>
      </w:r>
      <w:r w:rsidR="00EB4BA1">
        <w:rPr>
          <w:lang w:val="en-US"/>
        </w:rPr>
        <w:t>metrics</w:t>
      </w:r>
      <w:r w:rsidR="00A93182" w:rsidRPr="00A93182">
        <w:rPr>
          <w:lang w:val="en-US"/>
        </w:rPr>
        <w:t xml:space="preserve">. ESG </w:t>
      </w:r>
      <w:r w:rsidR="00EB4BA1">
        <w:rPr>
          <w:lang w:val="en-US"/>
        </w:rPr>
        <w:t>metrics</w:t>
      </w:r>
      <w:r w:rsidR="00A93182" w:rsidRPr="00A93182">
        <w:rPr>
          <w:lang w:val="en-US"/>
        </w:rPr>
        <w:t xml:space="preserve"> with scores below 33 are analyzed to assess whether they pose a </w:t>
      </w:r>
      <w:r w:rsidR="0006620D">
        <w:rPr>
          <w:lang w:val="en-US"/>
        </w:rPr>
        <w:t>material</w:t>
      </w:r>
      <w:r w:rsidR="00A93182" w:rsidRPr="00A93182">
        <w:rPr>
          <w:lang w:val="en-US"/>
        </w:rPr>
        <w:t xml:space="preserve"> risk. If the company's risks are</w:t>
      </w:r>
      <w:r w:rsidR="00D57A01">
        <w:rPr>
          <w:lang w:val="en-US"/>
        </w:rPr>
        <w:t xml:space="preserve"> high</w:t>
      </w:r>
      <w:r w:rsidR="00A93182" w:rsidRPr="00A93182">
        <w:rPr>
          <w:lang w:val="en-US"/>
        </w:rPr>
        <w:t>,</w:t>
      </w:r>
      <w:r w:rsidR="007522F1">
        <w:rPr>
          <w:lang w:val="en-US"/>
        </w:rPr>
        <w:t xml:space="preserve"> from a </w:t>
      </w:r>
      <w:r w:rsidR="00A93182" w:rsidRPr="00A93182">
        <w:rPr>
          <w:lang w:val="en-US"/>
        </w:rPr>
        <w:t xml:space="preserve">double materiality </w:t>
      </w:r>
      <w:r w:rsidR="007522F1">
        <w:rPr>
          <w:lang w:val="en-US"/>
        </w:rPr>
        <w:t>perspective</w:t>
      </w:r>
      <w:r w:rsidR="00A93182" w:rsidRPr="00A93182">
        <w:rPr>
          <w:lang w:val="en-US"/>
        </w:rPr>
        <w:t xml:space="preserve">, then the company's ESG </w:t>
      </w:r>
      <w:r w:rsidR="00E91CDB">
        <w:rPr>
          <w:lang w:val="en-US"/>
        </w:rPr>
        <w:t>performance</w:t>
      </w:r>
      <w:r w:rsidR="00A93182" w:rsidRPr="00A93182">
        <w:rPr>
          <w:lang w:val="en-US"/>
        </w:rPr>
        <w:t xml:space="preserve"> is further </w:t>
      </w:r>
      <w:r w:rsidR="005D1010" w:rsidRPr="00A93182">
        <w:rPr>
          <w:lang w:val="en-US"/>
        </w:rPr>
        <w:t>analyzed</w:t>
      </w:r>
      <w:r w:rsidR="00A93182" w:rsidRPr="00A93182">
        <w:rPr>
          <w:lang w:val="en-US"/>
        </w:rPr>
        <w:t>.</w:t>
      </w:r>
    </w:p>
    <w:p w14:paraId="2EEBA0A1" w14:textId="77777777" w:rsidR="001A57E2" w:rsidRDefault="001A57E2" w:rsidP="00A93182">
      <w:pPr>
        <w:rPr>
          <w:lang w:val="en-US"/>
        </w:rPr>
      </w:pPr>
    </w:p>
    <w:p w14:paraId="1E40F729" w14:textId="220AD431" w:rsidR="001A57E2" w:rsidRPr="006A5EC6" w:rsidRDefault="001A57E2" w:rsidP="00A93182">
      <w:pPr>
        <w:rPr>
          <w:u w:val="single"/>
          <w:lang w:val="en-US"/>
        </w:rPr>
      </w:pPr>
      <w:r w:rsidRPr="006A5EC6">
        <w:rPr>
          <w:u w:val="single"/>
          <w:lang w:val="en-US"/>
        </w:rPr>
        <w:t>Data sources and processing</w:t>
      </w:r>
    </w:p>
    <w:p w14:paraId="3CA40379" w14:textId="6F109A9D" w:rsidR="00FE23A6" w:rsidRPr="00FE23A6" w:rsidRDefault="00FE23A6" w:rsidP="00FE23A6">
      <w:pPr>
        <w:rPr>
          <w:lang w:val="en-US"/>
        </w:rPr>
      </w:pPr>
      <w:r w:rsidRPr="00FE23A6">
        <w:rPr>
          <w:lang w:val="en-US"/>
        </w:rPr>
        <w:t xml:space="preserve">St. Petri Capital uses various data sources to support the integration of the </w:t>
      </w:r>
      <w:r>
        <w:rPr>
          <w:lang w:val="en-US"/>
        </w:rPr>
        <w:t>Fund’s</w:t>
      </w:r>
      <w:r w:rsidRPr="00FE23A6">
        <w:rPr>
          <w:lang w:val="en-US"/>
        </w:rPr>
        <w:t xml:space="preserve"> environmental and social characteristics.</w:t>
      </w:r>
    </w:p>
    <w:p w14:paraId="7B2615CA" w14:textId="1786947E" w:rsidR="00FE23A6" w:rsidRPr="00FE23A6" w:rsidRDefault="00FE23A6" w:rsidP="00FE23A6">
      <w:pPr>
        <w:rPr>
          <w:lang w:val="en-US"/>
        </w:rPr>
      </w:pPr>
      <w:r w:rsidRPr="00FE23A6">
        <w:rPr>
          <w:lang w:val="en-US"/>
        </w:rPr>
        <w:t xml:space="preserve">The investment </w:t>
      </w:r>
      <w:r>
        <w:rPr>
          <w:lang w:val="en-US"/>
        </w:rPr>
        <w:t>ser</w:t>
      </w:r>
      <w:r w:rsidR="00CD5ABC">
        <w:rPr>
          <w:lang w:val="en-US"/>
        </w:rPr>
        <w:t>vice provider</w:t>
      </w:r>
      <w:r w:rsidRPr="00FE23A6">
        <w:rPr>
          <w:lang w:val="en-US"/>
        </w:rPr>
        <w:t xml:space="preserve"> is responsible for providing data that ensures that the </w:t>
      </w:r>
      <w:r w:rsidR="00CD5ABC">
        <w:rPr>
          <w:lang w:val="en-US"/>
        </w:rPr>
        <w:t>Fund’s</w:t>
      </w:r>
      <w:r w:rsidRPr="00FE23A6">
        <w:rPr>
          <w:lang w:val="en-US"/>
        </w:rPr>
        <w:t xml:space="preserve"> long positions do not violate international norms and standards; and that the companies do not violate the </w:t>
      </w:r>
      <w:r w:rsidR="00CD5ABC">
        <w:rPr>
          <w:lang w:val="en-US"/>
        </w:rPr>
        <w:t>Fund’s</w:t>
      </w:r>
      <w:r w:rsidRPr="00FE23A6">
        <w:rPr>
          <w:lang w:val="en-US"/>
        </w:rPr>
        <w:t xml:space="preserve"> thematic and product-based restrictions.</w:t>
      </w:r>
    </w:p>
    <w:p w14:paraId="7F1EE89B" w14:textId="2116912C" w:rsidR="00FE23A6" w:rsidRPr="00FE23A6" w:rsidRDefault="00FE23A6" w:rsidP="00FE23A6">
      <w:pPr>
        <w:rPr>
          <w:lang w:val="en-US"/>
        </w:rPr>
      </w:pPr>
      <w:r w:rsidRPr="00FE23A6">
        <w:rPr>
          <w:lang w:val="en-US"/>
        </w:rPr>
        <w:t xml:space="preserve">To deliver this data, the </w:t>
      </w:r>
      <w:r w:rsidR="00230650">
        <w:rPr>
          <w:lang w:val="en-US"/>
        </w:rPr>
        <w:t>service provider</w:t>
      </w:r>
      <w:r w:rsidRPr="00FE23A6">
        <w:rPr>
          <w:lang w:val="en-US"/>
        </w:rPr>
        <w:t xml:space="preserve"> uses data suppliers such as SEB, Impact Cubed and ISS.</w:t>
      </w:r>
    </w:p>
    <w:p w14:paraId="5FCE76D2" w14:textId="5D776D86" w:rsidR="00FE23A6" w:rsidRPr="00FE23A6" w:rsidRDefault="00FE23A6" w:rsidP="00FE23A6">
      <w:pPr>
        <w:rPr>
          <w:lang w:val="en-US"/>
        </w:rPr>
      </w:pPr>
      <w:r w:rsidRPr="00FE23A6">
        <w:rPr>
          <w:lang w:val="en-US"/>
        </w:rPr>
        <w:t xml:space="preserve">St. Petri Capital uses Clarity AI as a data </w:t>
      </w:r>
      <w:r w:rsidR="00230650">
        <w:rPr>
          <w:lang w:val="en-US"/>
        </w:rPr>
        <w:t>provider</w:t>
      </w:r>
      <w:r w:rsidRPr="00FE23A6">
        <w:rPr>
          <w:lang w:val="en-US"/>
        </w:rPr>
        <w:t xml:space="preserve"> for the fund's ESG</w:t>
      </w:r>
      <w:r w:rsidR="00740B2D">
        <w:rPr>
          <w:lang w:val="en-US"/>
        </w:rPr>
        <w:t>-</w:t>
      </w:r>
      <w:r w:rsidRPr="00FE23A6">
        <w:rPr>
          <w:lang w:val="en-US"/>
        </w:rPr>
        <w:t>risk</w:t>
      </w:r>
      <w:r w:rsidR="00740B2D">
        <w:rPr>
          <w:lang w:val="en-US"/>
        </w:rPr>
        <w:t>-</w:t>
      </w:r>
      <w:r w:rsidRPr="00FE23A6">
        <w:rPr>
          <w:lang w:val="en-US"/>
        </w:rPr>
        <w:t>score, ESG</w:t>
      </w:r>
      <w:r w:rsidR="00740B2D">
        <w:rPr>
          <w:lang w:val="en-US"/>
        </w:rPr>
        <w:t>-</w:t>
      </w:r>
      <w:r w:rsidRPr="00FE23A6">
        <w:rPr>
          <w:lang w:val="en-US"/>
        </w:rPr>
        <w:t>impact</w:t>
      </w:r>
      <w:r w:rsidR="00740B2D">
        <w:rPr>
          <w:lang w:val="en-US"/>
        </w:rPr>
        <w:t>-</w:t>
      </w:r>
      <w:r w:rsidR="009E5B9C" w:rsidRPr="00FE23A6">
        <w:rPr>
          <w:lang w:val="en-US"/>
        </w:rPr>
        <w:t>score,</w:t>
      </w:r>
      <w:r w:rsidRPr="00FE23A6">
        <w:rPr>
          <w:lang w:val="en-US"/>
        </w:rPr>
        <w:t xml:space="preserve"> and data regarding </w:t>
      </w:r>
      <w:r w:rsidR="00740B2D">
        <w:rPr>
          <w:lang w:val="en-US"/>
        </w:rPr>
        <w:t>the principal adverse indicators</w:t>
      </w:r>
      <w:r w:rsidRPr="00FE23A6">
        <w:rPr>
          <w:lang w:val="en-US"/>
        </w:rPr>
        <w:t>.</w:t>
      </w:r>
    </w:p>
    <w:p w14:paraId="0B455F81" w14:textId="77777777" w:rsidR="009E663D" w:rsidRDefault="00FE23A6" w:rsidP="00FE23A6">
      <w:pPr>
        <w:rPr>
          <w:lang w:val="en-US"/>
        </w:rPr>
      </w:pPr>
      <w:r w:rsidRPr="00FE23A6">
        <w:rPr>
          <w:lang w:val="en-US"/>
        </w:rPr>
        <w:t xml:space="preserve">To supplement and fact-check the above data sources, St. Petri Capital also </w:t>
      </w:r>
      <w:r w:rsidR="00380587">
        <w:rPr>
          <w:lang w:val="en-US"/>
        </w:rPr>
        <w:t>use</w:t>
      </w:r>
      <w:r w:rsidR="00C60047">
        <w:rPr>
          <w:lang w:val="en-US"/>
        </w:rPr>
        <w:t>s</w:t>
      </w:r>
      <w:r w:rsidR="00380587">
        <w:rPr>
          <w:lang w:val="en-US"/>
        </w:rPr>
        <w:t xml:space="preserve"> </w:t>
      </w:r>
      <w:r w:rsidRPr="00FE23A6">
        <w:rPr>
          <w:lang w:val="en-US"/>
        </w:rPr>
        <w:t>data obtained from</w:t>
      </w:r>
      <w:r w:rsidR="00C60047">
        <w:rPr>
          <w:lang w:val="en-US"/>
        </w:rPr>
        <w:t xml:space="preserve"> </w:t>
      </w:r>
      <w:r w:rsidR="00380587">
        <w:rPr>
          <w:lang w:val="en-US"/>
        </w:rPr>
        <w:t>corporate</w:t>
      </w:r>
      <w:r w:rsidRPr="00FE23A6">
        <w:rPr>
          <w:lang w:val="en-US"/>
        </w:rPr>
        <w:t xml:space="preserve"> websites, </w:t>
      </w:r>
      <w:r w:rsidR="006C23BE">
        <w:rPr>
          <w:lang w:val="en-US"/>
        </w:rPr>
        <w:t xml:space="preserve">general news media, the </w:t>
      </w:r>
      <w:r w:rsidR="00F514F0">
        <w:rPr>
          <w:lang w:val="en-US"/>
        </w:rPr>
        <w:t>internet,</w:t>
      </w:r>
      <w:r w:rsidR="006C23BE">
        <w:rPr>
          <w:lang w:val="en-US"/>
        </w:rPr>
        <w:t xml:space="preserve"> and </w:t>
      </w:r>
      <w:r w:rsidRPr="00FE23A6">
        <w:rPr>
          <w:lang w:val="en-US"/>
        </w:rPr>
        <w:t>analy</w:t>
      </w:r>
      <w:r w:rsidR="00FE37E2">
        <w:rPr>
          <w:lang w:val="en-US"/>
        </w:rPr>
        <w:t>s</w:t>
      </w:r>
      <w:r w:rsidRPr="00FE23A6">
        <w:rPr>
          <w:lang w:val="en-US"/>
        </w:rPr>
        <w:t>es from various analysis companies</w:t>
      </w:r>
      <w:r w:rsidR="006C23BE">
        <w:rPr>
          <w:lang w:val="en-US"/>
        </w:rPr>
        <w:t>.</w:t>
      </w:r>
    </w:p>
    <w:p w14:paraId="5BD9029B" w14:textId="36A85E21" w:rsidR="00DC7112" w:rsidRPr="00045FC6" w:rsidRDefault="00713F31" w:rsidP="00FE23A6">
      <w:pPr>
        <w:rPr>
          <w:lang w:val="en-US"/>
        </w:rPr>
      </w:pPr>
      <w:r w:rsidRPr="00045FC6">
        <w:rPr>
          <w:lang w:val="en-US"/>
        </w:rPr>
        <w:t xml:space="preserve">The </w:t>
      </w:r>
      <w:r w:rsidR="00DC7112" w:rsidRPr="00045FC6">
        <w:rPr>
          <w:lang w:val="en-US"/>
        </w:rPr>
        <w:t xml:space="preserve">data is used as is, and no additional systematic </w:t>
      </w:r>
      <w:r w:rsidR="00416A3B" w:rsidRPr="00045FC6">
        <w:rPr>
          <w:lang w:val="en-US"/>
        </w:rPr>
        <w:t>procedures for data processing are undertaken</w:t>
      </w:r>
      <w:r w:rsidR="0025082B" w:rsidRPr="00045FC6">
        <w:rPr>
          <w:lang w:val="en-US"/>
        </w:rPr>
        <w:t xml:space="preserve"> due to St. Petri Capitals limited size and resources. </w:t>
      </w:r>
      <w:r w:rsidR="00F925C1" w:rsidRPr="00045FC6">
        <w:rPr>
          <w:lang w:val="en-US"/>
        </w:rPr>
        <w:t xml:space="preserve">St. Petri Capital </w:t>
      </w:r>
      <w:r w:rsidR="00510311" w:rsidRPr="00045FC6">
        <w:rPr>
          <w:lang w:val="en-US"/>
        </w:rPr>
        <w:t>depends</w:t>
      </w:r>
      <w:r w:rsidR="00F925C1" w:rsidRPr="00045FC6">
        <w:rPr>
          <w:lang w:val="en-US"/>
        </w:rPr>
        <w:t xml:space="preserve"> </w:t>
      </w:r>
      <w:r w:rsidR="00045FC6" w:rsidRPr="00045FC6">
        <w:rPr>
          <w:lang w:val="en-US"/>
        </w:rPr>
        <w:t xml:space="preserve">on </w:t>
      </w:r>
      <w:r w:rsidR="004B62EC" w:rsidRPr="00045FC6">
        <w:rPr>
          <w:lang w:val="en-US"/>
        </w:rPr>
        <w:t xml:space="preserve">our data providers methodologies and procedures </w:t>
      </w:r>
      <w:r w:rsidR="00C51F47" w:rsidRPr="00045FC6">
        <w:rPr>
          <w:lang w:val="en-US"/>
        </w:rPr>
        <w:t xml:space="preserve">in terms of data collection and quality. </w:t>
      </w:r>
      <w:r w:rsidR="004805A3" w:rsidRPr="00045FC6">
        <w:rPr>
          <w:lang w:val="en-US"/>
        </w:rPr>
        <w:t>However, St. Petri Capital can cross-check critical data points with other data sources as mentioned above.</w:t>
      </w:r>
    </w:p>
    <w:p w14:paraId="5E5EE6F0" w14:textId="1961D007" w:rsidR="00D15D26" w:rsidRDefault="004D33E7" w:rsidP="000D4990">
      <w:pPr>
        <w:rPr>
          <w:lang w:val="en-US"/>
        </w:rPr>
      </w:pPr>
      <w:r>
        <w:rPr>
          <w:lang w:val="en-US"/>
        </w:rPr>
        <w:t>On a</w:t>
      </w:r>
      <w:r w:rsidR="00AC00B5">
        <w:rPr>
          <w:lang w:val="en-US"/>
        </w:rPr>
        <w:t>n</w:t>
      </w:r>
      <w:r>
        <w:rPr>
          <w:lang w:val="en-US"/>
        </w:rPr>
        <w:t xml:space="preserve"> ongoing basis</w:t>
      </w:r>
      <w:r w:rsidR="00CB6B5A">
        <w:rPr>
          <w:lang w:val="en-US"/>
        </w:rPr>
        <w:t>,</w:t>
      </w:r>
      <w:r>
        <w:rPr>
          <w:lang w:val="en-US"/>
        </w:rPr>
        <w:t xml:space="preserve"> St. Petri Capital review</w:t>
      </w:r>
      <w:r w:rsidR="00A855A5">
        <w:rPr>
          <w:lang w:val="en-US"/>
        </w:rPr>
        <w:t>s Clarity AI’s methods for data collection</w:t>
      </w:r>
      <w:r w:rsidR="007D337B">
        <w:rPr>
          <w:lang w:val="en-US"/>
        </w:rPr>
        <w:t xml:space="preserve">, </w:t>
      </w:r>
      <w:r w:rsidR="00BD4385">
        <w:rPr>
          <w:lang w:val="en-US"/>
        </w:rPr>
        <w:t>processing,</w:t>
      </w:r>
      <w:r w:rsidR="007D337B">
        <w:rPr>
          <w:lang w:val="en-US"/>
        </w:rPr>
        <w:t xml:space="preserve"> and estimation to assess the validity and quality </w:t>
      </w:r>
      <w:r w:rsidR="00D73F1E">
        <w:rPr>
          <w:lang w:val="en-US"/>
        </w:rPr>
        <w:t xml:space="preserve">of the data provided. </w:t>
      </w:r>
      <w:r w:rsidR="00FE23A6" w:rsidRPr="00FE23A6">
        <w:rPr>
          <w:lang w:val="en-US"/>
        </w:rPr>
        <w:t>Clarity AI uses estimated data where no reported date</w:t>
      </w:r>
      <w:r w:rsidR="00D73F1E">
        <w:rPr>
          <w:lang w:val="en-US"/>
        </w:rPr>
        <w:t xml:space="preserve"> </w:t>
      </w:r>
      <w:r w:rsidR="00592F3E">
        <w:rPr>
          <w:lang w:val="en-US"/>
        </w:rPr>
        <w:t>exists</w:t>
      </w:r>
      <w:r w:rsidR="00FE23A6" w:rsidRPr="00FE23A6">
        <w:rPr>
          <w:lang w:val="en-US"/>
        </w:rPr>
        <w:t xml:space="preserve">, or </w:t>
      </w:r>
      <w:r w:rsidR="00C26BDC">
        <w:rPr>
          <w:lang w:val="en-US"/>
        </w:rPr>
        <w:t xml:space="preserve">when </w:t>
      </w:r>
      <w:r w:rsidR="00FE23A6" w:rsidRPr="00FE23A6">
        <w:rPr>
          <w:lang w:val="en-US"/>
        </w:rPr>
        <w:t xml:space="preserve">reported data </w:t>
      </w:r>
      <w:r w:rsidR="00C26BDC">
        <w:rPr>
          <w:lang w:val="en-US"/>
        </w:rPr>
        <w:t xml:space="preserve">does </w:t>
      </w:r>
      <w:r w:rsidR="00FE23A6" w:rsidRPr="00FE23A6">
        <w:rPr>
          <w:lang w:val="en-US"/>
        </w:rPr>
        <w:t>not have the necessary quality.</w:t>
      </w:r>
    </w:p>
    <w:p w14:paraId="57C583FF" w14:textId="77777777" w:rsidR="00592F3E" w:rsidRDefault="00592F3E" w:rsidP="000D4990">
      <w:pPr>
        <w:rPr>
          <w:lang w:val="en-US"/>
        </w:rPr>
      </w:pPr>
    </w:p>
    <w:p w14:paraId="7EB5AEFA" w14:textId="3A170462" w:rsidR="00D15D26" w:rsidRPr="00D15D26" w:rsidRDefault="00D15D26" w:rsidP="000D4990">
      <w:pPr>
        <w:rPr>
          <w:u w:val="single"/>
          <w:lang w:val="en-US"/>
        </w:rPr>
      </w:pPr>
      <w:r w:rsidRPr="00592F3E">
        <w:rPr>
          <w:u w:val="single"/>
          <w:lang w:val="en-US"/>
        </w:rPr>
        <w:t>Limitations to methodologies and data</w:t>
      </w:r>
    </w:p>
    <w:p w14:paraId="23B2FC1B" w14:textId="2718ABD0" w:rsidR="000D4990" w:rsidRPr="000D4990" w:rsidRDefault="000D4990" w:rsidP="000D4990">
      <w:pPr>
        <w:rPr>
          <w:lang w:val="en-US"/>
        </w:rPr>
      </w:pPr>
      <w:r w:rsidRPr="000D4990">
        <w:rPr>
          <w:lang w:val="en-US"/>
        </w:rPr>
        <w:t xml:space="preserve">Systematized ESG data collection is untested in a larger global context. Much data is not collected or reported, and the companies' and data </w:t>
      </w:r>
      <w:r w:rsidR="00A749CC">
        <w:rPr>
          <w:lang w:val="en-US"/>
        </w:rPr>
        <w:t>providers</w:t>
      </w:r>
      <w:r w:rsidRPr="000D4990">
        <w:rPr>
          <w:lang w:val="en-US"/>
        </w:rPr>
        <w:t xml:space="preserve"> methods of collecting and </w:t>
      </w:r>
      <w:r w:rsidR="003C707B" w:rsidRPr="000D4990">
        <w:rPr>
          <w:lang w:val="en-US"/>
        </w:rPr>
        <w:t>quality assuring</w:t>
      </w:r>
      <w:r w:rsidRPr="000D4990">
        <w:rPr>
          <w:lang w:val="en-US"/>
        </w:rPr>
        <w:t xml:space="preserve"> ESG data are </w:t>
      </w:r>
      <w:r w:rsidRPr="000D4990">
        <w:rPr>
          <w:lang w:val="en-US"/>
        </w:rPr>
        <w:lastRenderedPageBreak/>
        <w:t>under development. The validity of the ESG data available on the market therefore varies both for</w:t>
      </w:r>
      <w:r w:rsidR="00100FF3">
        <w:rPr>
          <w:lang w:val="en-US"/>
        </w:rPr>
        <w:t xml:space="preserve"> </w:t>
      </w:r>
      <w:r w:rsidRPr="000D4990">
        <w:rPr>
          <w:lang w:val="en-US"/>
        </w:rPr>
        <w:t xml:space="preserve">companies and </w:t>
      </w:r>
      <w:r w:rsidR="00A749CC">
        <w:rPr>
          <w:lang w:val="en-US"/>
        </w:rPr>
        <w:t>ESG data providers</w:t>
      </w:r>
      <w:r w:rsidRPr="000D4990">
        <w:rPr>
          <w:lang w:val="en-US"/>
        </w:rPr>
        <w:t>.</w:t>
      </w:r>
    </w:p>
    <w:p w14:paraId="5188054B" w14:textId="32AFF3E9" w:rsidR="000D4990" w:rsidRDefault="000D4990" w:rsidP="000D4990">
      <w:pPr>
        <w:rPr>
          <w:lang w:val="en-US"/>
        </w:rPr>
      </w:pPr>
      <w:r w:rsidRPr="000D4990">
        <w:rPr>
          <w:lang w:val="en-US"/>
        </w:rPr>
        <w:t>For the same reason</w:t>
      </w:r>
      <w:r w:rsidR="00A749CC">
        <w:rPr>
          <w:lang w:val="en-US"/>
        </w:rPr>
        <w:t>s</w:t>
      </w:r>
      <w:r w:rsidRPr="000D4990">
        <w:rPr>
          <w:lang w:val="en-US"/>
        </w:rPr>
        <w:t xml:space="preserve">, there is a low correlation between the ESG </w:t>
      </w:r>
      <w:r w:rsidR="00544006">
        <w:rPr>
          <w:lang w:val="en-US"/>
        </w:rPr>
        <w:t>providers’</w:t>
      </w:r>
      <w:r w:rsidR="003C1E33">
        <w:rPr>
          <w:lang w:val="en-US"/>
        </w:rPr>
        <w:t xml:space="preserve"> different </w:t>
      </w:r>
      <w:r w:rsidRPr="000D4990">
        <w:rPr>
          <w:lang w:val="en-US"/>
        </w:rPr>
        <w:t>ratings.</w:t>
      </w:r>
    </w:p>
    <w:p w14:paraId="2F4F2780" w14:textId="17094EB1" w:rsidR="00956004" w:rsidRDefault="00D40B98" w:rsidP="00D40B98">
      <w:pPr>
        <w:rPr>
          <w:lang w:val="en-US"/>
        </w:rPr>
      </w:pPr>
      <w:r w:rsidRPr="00D40B98">
        <w:rPr>
          <w:lang w:val="en-US"/>
        </w:rPr>
        <w:t xml:space="preserve">To ensure consistency and direction in the development of the fund's ESG characteristics, St. Petri Capital </w:t>
      </w:r>
      <w:r w:rsidR="0027300F">
        <w:rPr>
          <w:lang w:val="en-US"/>
        </w:rPr>
        <w:t>has chosen to use the same</w:t>
      </w:r>
      <w:r w:rsidR="00BE15E5">
        <w:rPr>
          <w:lang w:val="en-US"/>
        </w:rPr>
        <w:t xml:space="preserve"> ack</w:t>
      </w:r>
      <w:r w:rsidR="002579D7">
        <w:rPr>
          <w:lang w:val="en-US"/>
        </w:rPr>
        <w:t>nowledge</w:t>
      </w:r>
      <w:r w:rsidR="0027300F">
        <w:rPr>
          <w:lang w:val="en-US"/>
        </w:rPr>
        <w:t xml:space="preserve"> </w:t>
      </w:r>
      <w:r w:rsidRPr="00D40B98">
        <w:rPr>
          <w:lang w:val="en-US"/>
        </w:rPr>
        <w:t xml:space="preserve">ESG data </w:t>
      </w:r>
      <w:r>
        <w:rPr>
          <w:lang w:val="en-US"/>
        </w:rPr>
        <w:t>provider</w:t>
      </w:r>
      <w:r w:rsidR="0027300F">
        <w:rPr>
          <w:lang w:val="en-US"/>
        </w:rPr>
        <w:t>s</w:t>
      </w:r>
      <w:r>
        <w:rPr>
          <w:lang w:val="en-US"/>
        </w:rPr>
        <w:t xml:space="preserve"> </w:t>
      </w:r>
      <w:r w:rsidR="008946F5">
        <w:rPr>
          <w:lang w:val="en-US"/>
        </w:rPr>
        <w:t xml:space="preserve">for the coming </w:t>
      </w:r>
      <w:r w:rsidRPr="00D40B98">
        <w:rPr>
          <w:lang w:val="en-US"/>
        </w:rPr>
        <w:t xml:space="preserve">years. </w:t>
      </w:r>
    </w:p>
    <w:p w14:paraId="1EF65E57" w14:textId="06F7E319" w:rsidR="00D40B98" w:rsidRPr="00D40B98" w:rsidRDefault="00D40B98" w:rsidP="00D40B98">
      <w:pPr>
        <w:rPr>
          <w:lang w:val="en-US"/>
        </w:rPr>
      </w:pPr>
      <w:r w:rsidRPr="00D40B98">
        <w:rPr>
          <w:lang w:val="en-US"/>
        </w:rPr>
        <w:t xml:space="preserve">The choice has fallen on ESG </w:t>
      </w:r>
      <w:r w:rsidR="0027300F">
        <w:rPr>
          <w:lang w:val="en-US"/>
        </w:rPr>
        <w:t>providers</w:t>
      </w:r>
      <w:r w:rsidRPr="00D40B98">
        <w:rPr>
          <w:lang w:val="en-US"/>
        </w:rPr>
        <w:t xml:space="preserve"> also used by other and larger financial market participants</w:t>
      </w:r>
      <w:r w:rsidR="00272B5D">
        <w:rPr>
          <w:lang w:val="en-US"/>
        </w:rPr>
        <w:t xml:space="preserve">. </w:t>
      </w:r>
      <w:r w:rsidR="000806B1">
        <w:rPr>
          <w:lang w:val="en-US"/>
        </w:rPr>
        <w:t xml:space="preserve">St. </w:t>
      </w:r>
      <w:r w:rsidRPr="00D40B98">
        <w:rPr>
          <w:lang w:val="en-US"/>
        </w:rPr>
        <w:t xml:space="preserve">Petri Capital </w:t>
      </w:r>
      <w:r w:rsidR="00D452CD" w:rsidRPr="00D40B98">
        <w:rPr>
          <w:lang w:val="en-US"/>
        </w:rPr>
        <w:t>reli</w:t>
      </w:r>
      <w:r w:rsidR="00D452CD">
        <w:rPr>
          <w:lang w:val="en-US"/>
        </w:rPr>
        <w:t>es</w:t>
      </w:r>
      <w:r w:rsidRPr="00D40B98">
        <w:rPr>
          <w:lang w:val="en-US"/>
        </w:rPr>
        <w:t xml:space="preserve"> on the fact that other more resourceful players also </w:t>
      </w:r>
      <w:r w:rsidR="00D452CD">
        <w:rPr>
          <w:lang w:val="en-US"/>
        </w:rPr>
        <w:t xml:space="preserve">have </w:t>
      </w:r>
      <w:r w:rsidRPr="00D40B98">
        <w:rPr>
          <w:lang w:val="en-US"/>
        </w:rPr>
        <w:t xml:space="preserve">assessed the quality of the ESG </w:t>
      </w:r>
      <w:r w:rsidR="00D452CD">
        <w:rPr>
          <w:lang w:val="en-US"/>
        </w:rPr>
        <w:t>providers</w:t>
      </w:r>
      <w:r w:rsidRPr="00D40B98">
        <w:rPr>
          <w:lang w:val="en-US"/>
        </w:rPr>
        <w:t xml:space="preserve"> methods. St. Petri Capital evaluates both continuously and in connection with the selection of ESG data </w:t>
      </w:r>
      <w:r w:rsidR="006B62AC">
        <w:rPr>
          <w:lang w:val="en-US"/>
        </w:rPr>
        <w:t>providers</w:t>
      </w:r>
      <w:r w:rsidRPr="00D40B98">
        <w:rPr>
          <w:lang w:val="en-US"/>
        </w:rPr>
        <w:t>, areas such as data quality,</w:t>
      </w:r>
      <w:r w:rsidR="00A50342">
        <w:rPr>
          <w:lang w:val="en-US"/>
        </w:rPr>
        <w:t xml:space="preserve"> data</w:t>
      </w:r>
      <w:r w:rsidRPr="00D40B98">
        <w:rPr>
          <w:lang w:val="en-US"/>
        </w:rPr>
        <w:t xml:space="preserve"> collection and estimation methods, price, market coverage, etc.</w:t>
      </w:r>
    </w:p>
    <w:p w14:paraId="23C48A57" w14:textId="7FB7B83C" w:rsidR="00D40B98" w:rsidRDefault="00D40B98" w:rsidP="00D40B98">
      <w:pPr>
        <w:rPr>
          <w:lang w:val="en-US"/>
        </w:rPr>
      </w:pPr>
      <w:r w:rsidRPr="00D40B98">
        <w:rPr>
          <w:lang w:val="en-US"/>
        </w:rPr>
        <w:t xml:space="preserve">The validity of the estimated data </w:t>
      </w:r>
      <w:r w:rsidR="00A50342">
        <w:rPr>
          <w:lang w:val="en-US"/>
        </w:rPr>
        <w:t>used by</w:t>
      </w:r>
      <w:r w:rsidRPr="00D40B98">
        <w:rPr>
          <w:lang w:val="en-US"/>
        </w:rPr>
        <w:t xml:space="preserve"> St. Petri Capital uses</w:t>
      </w:r>
      <w:r w:rsidR="0041599B">
        <w:rPr>
          <w:lang w:val="en-US"/>
        </w:rPr>
        <w:t xml:space="preserve"> </w:t>
      </w:r>
      <w:r w:rsidRPr="00D40B98">
        <w:rPr>
          <w:lang w:val="en-US"/>
        </w:rPr>
        <w:t>is defined by the quality of the machine learning models developed by Clarity AI.</w:t>
      </w:r>
    </w:p>
    <w:p w14:paraId="1A122DE5" w14:textId="28321487" w:rsidR="00A348FD" w:rsidRPr="00A348FD" w:rsidRDefault="00A348FD" w:rsidP="00A348FD">
      <w:pPr>
        <w:rPr>
          <w:lang w:val="en-US"/>
        </w:rPr>
      </w:pPr>
      <w:r w:rsidRPr="00A348FD">
        <w:rPr>
          <w:lang w:val="en-US"/>
        </w:rPr>
        <w:t xml:space="preserve">The fund's portfolio consists of a varying but significant proportion of small cap companies. Small cap companies often do not have the resources to collect and publish the same amount of </w:t>
      </w:r>
      <w:r w:rsidR="005806C2">
        <w:rPr>
          <w:lang w:val="en-US"/>
        </w:rPr>
        <w:t xml:space="preserve">ESG </w:t>
      </w:r>
      <w:r w:rsidRPr="00A348FD">
        <w:rPr>
          <w:lang w:val="en-US"/>
        </w:rPr>
        <w:t xml:space="preserve">data as larger companies. </w:t>
      </w:r>
      <w:r w:rsidR="00DB7D4E">
        <w:rPr>
          <w:lang w:val="en-US"/>
        </w:rPr>
        <w:t>T</w:t>
      </w:r>
      <w:r w:rsidR="00DB7D4E" w:rsidRPr="00A348FD">
        <w:rPr>
          <w:lang w:val="en-US"/>
        </w:rPr>
        <w:t>herefore,</w:t>
      </w:r>
      <w:r w:rsidR="001450F3" w:rsidRPr="00A348FD">
        <w:rPr>
          <w:lang w:val="en-US"/>
        </w:rPr>
        <w:t xml:space="preserve"> </w:t>
      </w:r>
      <w:r w:rsidR="00514869">
        <w:rPr>
          <w:lang w:val="en-US"/>
        </w:rPr>
        <w:t>s</w:t>
      </w:r>
      <w:r w:rsidRPr="00A348FD">
        <w:rPr>
          <w:lang w:val="en-US"/>
        </w:rPr>
        <w:t>everal small cap companies do not have a</w:t>
      </w:r>
      <w:r w:rsidR="001450F3">
        <w:rPr>
          <w:lang w:val="en-US"/>
        </w:rPr>
        <w:t>n ESG</w:t>
      </w:r>
      <w:r w:rsidRPr="00A348FD">
        <w:rPr>
          <w:lang w:val="en-US"/>
        </w:rPr>
        <w:t xml:space="preserve"> rating, or a large part of the </w:t>
      </w:r>
      <w:r w:rsidR="00896E79">
        <w:rPr>
          <w:lang w:val="en-US"/>
        </w:rPr>
        <w:t>underla</w:t>
      </w:r>
      <w:r w:rsidR="00BE6208">
        <w:rPr>
          <w:lang w:val="en-US"/>
        </w:rPr>
        <w:t xml:space="preserve">ying rating </w:t>
      </w:r>
      <w:r w:rsidRPr="00A348FD">
        <w:rPr>
          <w:lang w:val="en-US"/>
        </w:rPr>
        <w:t xml:space="preserve">data </w:t>
      </w:r>
      <w:r w:rsidR="00DC51E5">
        <w:rPr>
          <w:lang w:val="en-US"/>
        </w:rPr>
        <w:t xml:space="preserve">may </w:t>
      </w:r>
      <w:r w:rsidRPr="00A348FD">
        <w:rPr>
          <w:lang w:val="en-US"/>
        </w:rPr>
        <w:t>be estimated. To ensure that</w:t>
      </w:r>
      <w:r w:rsidR="00CD5BDF">
        <w:rPr>
          <w:lang w:val="en-US"/>
        </w:rPr>
        <w:t xml:space="preserve"> such a data gap</w:t>
      </w:r>
      <w:r w:rsidR="008A51D1">
        <w:rPr>
          <w:lang w:val="en-US"/>
        </w:rPr>
        <w:t xml:space="preserve"> only have </w:t>
      </w:r>
      <w:r w:rsidR="00CA428B">
        <w:rPr>
          <w:lang w:val="en-US"/>
        </w:rPr>
        <w:t xml:space="preserve">a </w:t>
      </w:r>
      <w:r w:rsidR="008A51D1">
        <w:rPr>
          <w:lang w:val="en-US"/>
        </w:rPr>
        <w:t xml:space="preserve">minimum </w:t>
      </w:r>
      <w:r w:rsidRPr="00A348FD">
        <w:rPr>
          <w:lang w:val="en-US"/>
        </w:rPr>
        <w:t xml:space="preserve">impact on the fund's ESG characteristics, all companies in the long </w:t>
      </w:r>
      <w:r w:rsidR="001A7F69">
        <w:rPr>
          <w:lang w:val="en-US"/>
        </w:rPr>
        <w:t>leg,</w:t>
      </w:r>
      <w:r w:rsidRPr="00A348FD">
        <w:rPr>
          <w:lang w:val="en-US"/>
        </w:rPr>
        <w:t xml:space="preserve"> with an ESG</w:t>
      </w:r>
      <w:r w:rsidR="00CA428B">
        <w:rPr>
          <w:lang w:val="en-US"/>
        </w:rPr>
        <w:t>-</w:t>
      </w:r>
      <w:r w:rsidRPr="00A348FD">
        <w:rPr>
          <w:lang w:val="en-US"/>
        </w:rPr>
        <w:t>r</w:t>
      </w:r>
      <w:r w:rsidR="00CA428B">
        <w:rPr>
          <w:lang w:val="en-US"/>
        </w:rPr>
        <w:t>isk-</w:t>
      </w:r>
      <w:r w:rsidRPr="00A348FD">
        <w:rPr>
          <w:lang w:val="en-US"/>
        </w:rPr>
        <w:t>score data relevance of less than 50% are analyzed</w:t>
      </w:r>
      <w:r w:rsidR="00402078">
        <w:rPr>
          <w:rStyle w:val="FootnoteReference"/>
          <w:lang w:val="en-US"/>
        </w:rPr>
        <w:footnoteReference w:id="1"/>
      </w:r>
      <w:r w:rsidRPr="00A348FD">
        <w:rPr>
          <w:lang w:val="en-US"/>
        </w:rPr>
        <w:t>.</w:t>
      </w:r>
      <w:r w:rsidR="007E7929">
        <w:rPr>
          <w:lang w:val="en-US"/>
        </w:rPr>
        <w:t xml:space="preserve"> </w:t>
      </w:r>
      <w:r w:rsidRPr="00A348FD">
        <w:rPr>
          <w:lang w:val="en-US"/>
        </w:rPr>
        <w:t xml:space="preserve">Due to the missing or estimated data, the </w:t>
      </w:r>
      <w:r w:rsidR="00A72975">
        <w:rPr>
          <w:lang w:val="en-US"/>
        </w:rPr>
        <w:t>aim is to anal</w:t>
      </w:r>
      <w:r w:rsidR="004A411A">
        <w:rPr>
          <w:lang w:val="en-US"/>
        </w:rPr>
        <w:t>yze</w:t>
      </w:r>
      <w:r w:rsidR="00626407">
        <w:rPr>
          <w:lang w:val="en-US"/>
        </w:rPr>
        <w:t xml:space="preserve"> </w:t>
      </w:r>
      <w:r w:rsidR="00380F26">
        <w:rPr>
          <w:lang w:val="en-US"/>
        </w:rPr>
        <w:t xml:space="preserve">if </w:t>
      </w:r>
      <w:r w:rsidR="00760D7B">
        <w:rPr>
          <w:lang w:val="en-US"/>
        </w:rPr>
        <w:t>a given</w:t>
      </w:r>
      <w:r w:rsidRPr="00A348FD">
        <w:rPr>
          <w:lang w:val="en-US"/>
        </w:rPr>
        <w:t xml:space="preserve"> company's </w:t>
      </w:r>
      <w:r w:rsidR="0037770E">
        <w:rPr>
          <w:lang w:val="en-US"/>
        </w:rPr>
        <w:t>real-world</w:t>
      </w:r>
      <w:r w:rsidR="00626407">
        <w:rPr>
          <w:lang w:val="en-US"/>
        </w:rPr>
        <w:t xml:space="preserve"> </w:t>
      </w:r>
      <w:r w:rsidRPr="00A348FD">
        <w:rPr>
          <w:lang w:val="en-US"/>
        </w:rPr>
        <w:t xml:space="preserve">activities have a negative or positive impact on the </w:t>
      </w:r>
      <w:r w:rsidR="00626407">
        <w:rPr>
          <w:lang w:val="en-US"/>
        </w:rPr>
        <w:t>Fund’s</w:t>
      </w:r>
      <w:r w:rsidRPr="00A348FD">
        <w:rPr>
          <w:lang w:val="en-US"/>
        </w:rPr>
        <w:t xml:space="preserve"> ESG characteristics.</w:t>
      </w:r>
    </w:p>
    <w:p w14:paraId="57CE206C" w14:textId="123B246E" w:rsidR="00A348FD" w:rsidRDefault="00A348FD" w:rsidP="00A348FD">
      <w:pPr>
        <w:rPr>
          <w:lang w:val="en-US"/>
        </w:rPr>
      </w:pPr>
      <w:r w:rsidRPr="00A348FD">
        <w:rPr>
          <w:lang w:val="en-US"/>
        </w:rPr>
        <w:t xml:space="preserve">ESG data and ratings are often backward-looking, and therefore do not </w:t>
      </w:r>
      <w:r w:rsidR="00544006" w:rsidRPr="00A348FD">
        <w:rPr>
          <w:lang w:val="en-US"/>
        </w:rPr>
        <w:t>consider</w:t>
      </w:r>
      <w:r w:rsidR="00A928B3">
        <w:rPr>
          <w:lang w:val="en-US"/>
        </w:rPr>
        <w:t xml:space="preserve"> </w:t>
      </w:r>
      <w:r w:rsidRPr="00A348FD">
        <w:rPr>
          <w:lang w:val="en-US"/>
        </w:rPr>
        <w:t>companies' transition plans and the</w:t>
      </w:r>
      <w:r w:rsidR="00A928B3">
        <w:rPr>
          <w:lang w:val="en-US"/>
        </w:rPr>
        <w:t>ir</w:t>
      </w:r>
      <w:r w:rsidRPr="00A348FD">
        <w:rPr>
          <w:lang w:val="en-US"/>
        </w:rPr>
        <w:t xml:space="preserve"> ability </w:t>
      </w:r>
      <w:r w:rsidR="00F867B2">
        <w:rPr>
          <w:lang w:val="en-US"/>
        </w:rPr>
        <w:t>or</w:t>
      </w:r>
      <w:r w:rsidRPr="00A348FD">
        <w:rPr>
          <w:lang w:val="en-US"/>
        </w:rPr>
        <w:t xml:space="preserve"> willingness to implement </w:t>
      </w:r>
      <w:r w:rsidR="00D926E2">
        <w:rPr>
          <w:lang w:val="en-US"/>
        </w:rPr>
        <w:t>such plans</w:t>
      </w:r>
      <w:r w:rsidRPr="00A348FD">
        <w:rPr>
          <w:lang w:val="en-US"/>
        </w:rPr>
        <w:t>, and thus</w:t>
      </w:r>
      <w:r w:rsidR="0084517B">
        <w:rPr>
          <w:lang w:val="en-US"/>
        </w:rPr>
        <w:t xml:space="preserve"> also</w:t>
      </w:r>
      <w:r w:rsidRPr="00A348FD">
        <w:rPr>
          <w:lang w:val="en-US"/>
        </w:rPr>
        <w:t xml:space="preserve"> not the future ESG risks and opportunities associated with the company.</w:t>
      </w:r>
    </w:p>
    <w:p w14:paraId="3EA849C8" w14:textId="77777777" w:rsidR="00BB389D" w:rsidRDefault="00BB389D" w:rsidP="00A348FD">
      <w:pPr>
        <w:rPr>
          <w:lang w:val="en-US"/>
        </w:rPr>
      </w:pPr>
    </w:p>
    <w:p w14:paraId="3B126185" w14:textId="352A984C" w:rsidR="00BB389D" w:rsidRPr="00BB389D" w:rsidRDefault="00BB389D" w:rsidP="00BB389D">
      <w:pPr>
        <w:rPr>
          <w:u w:val="single"/>
          <w:lang w:val="en-US"/>
        </w:rPr>
      </w:pPr>
      <w:r w:rsidRPr="00BB389D">
        <w:rPr>
          <w:u w:val="single"/>
          <w:lang w:val="en-US"/>
        </w:rPr>
        <w:t>Due diligence</w:t>
      </w:r>
    </w:p>
    <w:p w14:paraId="4B340A2D" w14:textId="2B10F6C6" w:rsidR="00BB389D" w:rsidRPr="00BB389D" w:rsidRDefault="00C75FA6" w:rsidP="00BB389D">
      <w:pPr>
        <w:rPr>
          <w:lang w:val="en-US"/>
        </w:rPr>
      </w:pPr>
      <w:r>
        <w:rPr>
          <w:lang w:val="en-US"/>
        </w:rPr>
        <w:t>Before alle trades are executed</w:t>
      </w:r>
      <w:r w:rsidR="00DF5CAC">
        <w:rPr>
          <w:lang w:val="en-US"/>
        </w:rPr>
        <w:t xml:space="preserve">, it is </w:t>
      </w:r>
      <w:r w:rsidR="006039D2">
        <w:rPr>
          <w:lang w:val="en-US"/>
        </w:rPr>
        <w:t xml:space="preserve">verified that the </w:t>
      </w:r>
      <w:r w:rsidR="00E231AA">
        <w:rPr>
          <w:lang w:val="en-US"/>
        </w:rPr>
        <w:t>company in question is n</w:t>
      </w:r>
      <w:r w:rsidR="00066186">
        <w:rPr>
          <w:lang w:val="en-US"/>
        </w:rPr>
        <w:t>ot on St. Petri Capital’s exclusions list</w:t>
      </w:r>
      <w:r w:rsidR="000634CB">
        <w:rPr>
          <w:lang w:val="en-US"/>
        </w:rPr>
        <w:t xml:space="preserve">, </w:t>
      </w:r>
      <w:r w:rsidR="000634CB" w:rsidRPr="00BB389D">
        <w:rPr>
          <w:lang w:val="en-US"/>
        </w:rPr>
        <w:t xml:space="preserve">and </w:t>
      </w:r>
      <w:r w:rsidR="001A55EC">
        <w:rPr>
          <w:lang w:val="en-US"/>
        </w:rPr>
        <w:t xml:space="preserve">that it </w:t>
      </w:r>
      <w:r w:rsidR="000C56E2" w:rsidRPr="00BB389D">
        <w:rPr>
          <w:lang w:val="en-US"/>
        </w:rPr>
        <w:t>complies</w:t>
      </w:r>
      <w:r w:rsidR="000634CB" w:rsidRPr="00BB389D">
        <w:rPr>
          <w:lang w:val="en-US"/>
        </w:rPr>
        <w:t xml:space="preserve"> with international norms and standards as well as St. Petri Capital's ESG positions.</w:t>
      </w:r>
      <w:r w:rsidR="001A55EC">
        <w:rPr>
          <w:lang w:val="en-US"/>
        </w:rPr>
        <w:t xml:space="preserve"> </w:t>
      </w:r>
      <w:r w:rsidR="00BB389D" w:rsidRPr="00BB389D">
        <w:rPr>
          <w:lang w:val="en-US"/>
        </w:rPr>
        <w:t xml:space="preserve">The responsibility for </w:t>
      </w:r>
      <w:r w:rsidR="00E66B86">
        <w:rPr>
          <w:lang w:val="en-US"/>
        </w:rPr>
        <w:t>executing that</w:t>
      </w:r>
      <w:r w:rsidR="00BB389D" w:rsidRPr="00BB389D">
        <w:rPr>
          <w:lang w:val="en-US"/>
        </w:rPr>
        <w:t xml:space="preserve"> process lies with </w:t>
      </w:r>
      <w:r w:rsidR="00E66B86">
        <w:rPr>
          <w:lang w:val="en-US"/>
        </w:rPr>
        <w:t xml:space="preserve">Wealth Invest </w:t>
      </w:r>
      <w:r w:rsidR="00BB389D" w:rsidRPr="00BB389D">
        <w:rPr>
          <w:lang w:val="en-US"/>
        </w:rPr>
        <w:t>and SEB.</w:t>
      </w:r>
    </w:p>
    <w:p w14:paraId="2677388A" w14:textId="75DAEA30" w:rsidR="00BB389D" w:rsidRPr="00BB389D" w:rsidRDefault="00BB389D" w:rsidP="00BB389D">
      <w:pPr>
        <w:rPr>
          <w:lang w:val="en-US"/>
        </w:rPr>
      </w:pPr>
      <w:r w:rsidRPr="00BB389D">
        <w:rPr>
          <w:lang w:val="en-US"/>
        </w:rPr>
        <w:t xml:space="preserve">St. Petri Capital's Responsible Investment Policy describes the internal due diligence processes which </w:t>
      </w:r>
      <w:r w:rsidR="00374609">
        <w:rPr>
          <w:lang w:val="en-US"/>
        </w:rPr>
        <w:t>is</w:t>
      </w:r>
      <w:r w:rsidRPr="00BB389D">
        <w:rPr>
          <w:lang w:val="en-US"/>
        </w:rPr>
        <w:t xml:space="preserve"> an integral part of the fund's investment process.</w:t>
      </w:r>
    </w:p>
    <w:p w14:paraId="46C0D7F4" w14:textId="77777777" w:rsidR="00BB389D" w:rsidRPr="00BB389D" w:rsidRDefault="00BB389D" w:rsidP="00BB389D">
      <w:pPr>
        <w:rPr>
          <w:lang w:val="en-US"/>
        </w:rPr>
      </w:pPr>
      <w:r w:rsidRPr="00BB389D">
        <w:rPr>
          <w:lang w:val="en-US"/>
        </w:rPr>
        <w:t>St. Petri Capital's due diligence process includes the following steps:</w:t>
      </w:r>
    </w:p>
    <w:p w14:paraId="6F2992F7" w14:textId="0BC9BFD1" w:rsidR="00BB389D" w:rsidRPr="00BB389D" w:rsidRDefault="00BB389D" w:rsidP="00BB389D">
      <w:pPr>
        <w:rPr>
          <w:lang w:val="en-US"/>
        </w:rPr>
      </w:pPr>
      <w:r w:rsidRPr="00BB389D">
        <w:rPr>
          <w:lang w:val="en-US"/>
        </w:rPr>
        <w:t xml:space="preserve">• Norm-based </w:t>
      </w:r>
      <w:r w:rsidR="0061306A" w:rsidRPr="00BB389D">
        <w:rPr>
          <w:lang w:val="en-US"/>
        </w:rPr>
        <w:t>sc</w:t>
      </w:r>
      <w:r w:rsidR="0061306A">
        <w:rPr>
          <w:lang w:val="en-US"/>
        </w:rPr>
        <w:t>re</w:t>
      </w:r>
      <w:r w:rsidR="0061306A" w:rsidRPr="00BB389D">
        <w:rPr>
          <w:lang w:val="en-US"/>
        </w:rPr>
        <w:t>ening</w:t>
      </w:r>
    </w:p>
    <w:p w14:paraId="28F7FA14" w14:textId="250BF3F0" w:rsidR="00BB389D" w:rsidRPr="00BB389D" w:rsidRDefault="00BB389D" w:rsidP="00BB389D">
      <w:pPr>
        <w:rPr>
          <w:lang w:val="en-US"/>
        </w:rPr>
      </w:pPr>
      <w:r w:rsidRPr="00BB389D">
        <w:rPr>
          <w:lang w:val="en-US"/>
        </w:rPr>
        <w:t xml:space="preserve">• Thematic and product-based </w:t>
      </w:r>
      <w:r w:rsidR="0061306A" w:rsidRPr="00BB389D">
        <w:rPr>
          <w:lang w:val="en-US"/>
        </w:rPr>
        <w:t>sc</w:t>
      </w:r>
      <w:r w:rsidR="0061306A">
        <w:rPr>
          <w:lang w:val="en-US"/>
        </w:rPr>
        <w:t>re</w:t>
      </w:r>
      <w:r w:rsidR="0061306A" w:rsidRPr="00BB389D">
        <w:rPr>
          <w:lang w:val="en-US"/>
        </w:rPr>
        <w:t>ening</w:t>
      </w:r>
    </w:p>
    <w:p w14:paraId="4C419DEB" w14:textId="059A07EA" w:rsidR="00BB389D" w:rsidRPr="00BB389D" w:rsidRDefault="00BB389D" w:rsidP="00BB389D">
      <w:pPr>
        <w:rPr>
          <w:lang w:val="en-US"/>
        </w:rPr>
      </w:pPr>
      <w:r w:rsidRPr="00BB389D">
        <w:rPr>
          <w:lang w:val="en-US"/>
        </w:rPr>
        <w:t>• An assessment of</w:t>
      </w:r>
      <w:r w:rsidR="00BE5641">
        <w:rPr>
          <w:lang w:val="en-US"/>
        </w:rPr>
        <w:t xml:space="preserve"> the principal </w:t>
      </w:r>
      <w:r w:rsidR="00BF3117">
        <w:rPr>
          <w:lang w:val="en-US"/>
        </w:rPr>
        <w:t>adverse indicators</w:t>
      </w:r>
    </w:p>
    <w:p w14:paraId="0C54133F" w14:textId="012E497E" w:rsidR="00BB389D" w:rsidRPr="00BB389D" w:rsidRDefault="00BB389D" w:rsidP="00BB389D">
      <w:pPr>
        <w:rPr>
          <w:lang w:val="en-US"/>
        </w:rPr>
      </w:pPr>
      <w:r w:rsidRPr="00BB389D">
        <w:rPr>
          <w:lang w:val="en-US"/>
        </w:rPr>
        <w:lastRenderedPageBreak/>
        <w:t>•</w:t>
      </w:r>
      <w:r w:rsidR="00BF3117">
        <w:rPr>
          <w:lang w:val="en-US"/>
        </w:rPr>
        <w:t xml:space="preserve"> An</w:t>
      </w:r>
      <w:r w:rsidRPr="00BB389D">
        <w:rPr>
          <w:lang w:val="en-US"/>
        </w:rPr>
        <w:t xml:space="preserve"> ESG</w:t>
      </w:r>
      <w:r w:rsidR="00BF3117">
        <w:rPr>
          <w:lang w:val="en-US"/>
        </w:rPr>
        <w:t>-</w:t>
      </w:r>
      <w:r w:rsidRPr="00BB389D">
        <w:rPr>
          <w:lang w:val="en-US"/>
        </w:rPr>
        <w:t>risk</w:t>
      </w:r>
      <w:r w:rsidR="00BF3117">
        <w:rPr>
          <w:lang w:val="en-US"/>
        </w:rPr>
        <w:t>-</w:t>
      </w:r>
      <w:r w:rsidRPr="00BB389D">
        <w:rPr>
          <w:lang w:val="en-US"/>
        </w:rPr>
        <w:t>score assessment</w:t>
      </w:r>
    </w:p>
    <w:p w14:paraId="10730752" w14:textId="67C62410" w:rsidR="00BB389D" w:rsidRPr="00BB389D" w:rsidRDefault="00BB389D" w:rsidP="00BB389D">
      <w:pPr>
        <w:rPr>
          <w:lang w:val="en-US"/>
        </w:rPr>
      </w:pPr>
      <w:r w:rsidRPr="00BB389D">
        <w:rPr>
          <w:lang w:val="en-US"/>
        </w:rPr>
        <w:t xml:space="preserve">• </w:t>
      </w:r>
      <w:r w:rsidR="00715913">
        <w:rPr>
          <w:lang w:val="en-US"/>
        </w:rPr>
        <w:t xml:space="preserve">An </w:t>
      </w:r>
      <w:r w:rsidRPr="00BB389D">
        <w:rPr>
          <w:lang w:val="en-US"/>
        </w:rPr>
        <w:t>ESG</w:t>
      </w:r>
      <w:r w:rsidR="00715913">
        <w:rPr>
          <w:lang w:val="en-US"/>
        </w:rPr>
        <w:t>-</w:t>
      </w:r>
      <w:r w:rsidRPr="00BB389D">
        <w:rPr>
          <w:lang w:val="en-US"/>
        </w:rPr>
        <w:t>impact</w:t>
      </w:r>
      <w:r w:rsidR="00715913">
        <w:rPr>
          <w:lang w:val="en-US"/>
        </w:rPr>
        <w:t>-</w:t>
      </w:r>
      <w:r w:rsidRPr="00BB389D">
        <w:rPr>
          <w:lang w:val="en-US"/>
        </w:rPr>
        <w:t>score assessment</w:t>
      </w:r>
    </w:p>
    <w:p w14:paraId="3BB276E1" w14:textId="18CF66C6" w:rsidR="00BB389D" w:rsidRDefault="00BB389D" w:rsidP="00BB389D">
      <w:pPr>
        <w:rPr>
          <w:lang w:val="en-US"/>
        </w:rPr>
      </w:pPr>
      <w:r w:rsidRPr="00BB389D">
        <w:rPr>
          <w:lang w:val="en-US"/>
        </w:rPr>
        <w:t xml:space="preserve">St. Petri Capital </w:t>
      </w:r>
      <w:r w:rsidR="00715913">
        <w:rPr>
          <w:lang w:val="en-US"/>
        </w:rPr>
        <w:t>R</w:t>
      </w:r>
      <w:r w:rsidRPr="00BB389D">
        <w:rPr>
          <w:lang w:val="en-US"/>
        </w:rPr>
        <w:t xml:space="preserve">esponsible </w:t>
      </w:r>
      <w:r w:rsidR="003958EF">
        <w:rPr>
          <w:lang w:val="en-US"/>
        </w:rPr>
        <w:t>I</w:t>
      </w:r>
      <w:r w:rsidRPr="00BB389D">
        <w:rPr>
          <w:lang w:val="en-US"/>
        </w:rPr>
        <w:t xml:space="preserve">nvestment </w:t>
      </w:r>
      <w:r w:rsidR="003958EF">
        <w:rPr>
          <w:lang w:val="en-US"/>
        </w:rPr>
        <w:t>C</w:t>
      </w:r>
      <w:r w:rsidRPr="00BB389D">
        <w:rPr>
          <w:lang w:val="en-US"/>
        </w:rPr>
        <w:t xml:space="preserve">ommittee </w:t>
      </w:r>
      <w:r w:rsidR="003958EF">
        <w:rPr>
          <w:lang w:val="en-US"/>
        </w:rPr>
        <w:t xml:space="preserve">has the </w:t>
      </w:r>
      <w:r w:rsidRPr="00BB389D">
        <w:rPr>
          <w:lang w:val="en-US"/>
        </w:rPr>
        <w:t>responsibility</w:t>
      </w:r>
      <w:r w:rsidR="003958EF">
        <w:rPr>
          <w:lang w:val="en-US"/>
        </w:rPr>
        <w:t xml:space="preserve"> </w:t>
      </w:r>
      <w:r w:rsidRPr="00BB389D">
        <w:rPr>
          <w:lang w:val="en-US"/>
        </w:rPr>
        <w:t>to ensure that all investments comply with the Responsible Investment Policy</w:t>
      </w:r>
      <w:r w:rsidR="00D8709A">
        <w:rPr>
          <w:lang w:val="en-US"/>
        </w:rPr>
        <w:t>,</w:t>
      </w:r>
      <w:r w:rsidRPr="00BB389D">
        <w:rPr>
          <w:lang w:val="en-US"/>
        </w:rPr>
        <w:t xml:space="preserve"> and that the fund's ESG characteristics are implemented.</w:t>
      </w:r>
    </w:p>
    <w:p w14:paraId="69979044" w14:textId="77777777" w:rsidR="00660D0F" w:rsidRDefault="00660D0F" w:rsidP="00BB389D">
      <w:pPr>
        <w:rPr>
          <w:lang w:val="en-US"/>
        </w:rPr>
      </w:pPr>
    </w:p>
    <w:p w14:paraId="21065637" w14:textId="2D53CABD" w:rsidR="00660D0F" w:rsidRPr="006A5EC6" w:rsidRDefault="00660D0F" w:rsidP="00BB389D">
      <w:pPr>
        <w:rPr>
          <w:u w:val="single"/>
          <w:lang w:val="en-US"/>
        </w:rPr>
      </w:pPr>
      <w:r w:rsidRPr="006A5EC6">
        <w:rPr>
          <w:u w:val="single"/>
          <w:lang w:val="en-US"/>
        </w:rPr>
        <w:t>Engagement policies</w:t>
      </w:r>
    </w:p>
    <w:p w14:paraId="2FA2D082" w14:textId="11D5C780" w:rsidR="00BB363C" w:rsidRPr="00BB363C" w:rsidRDefault="00862B45" w:rsidP="00BB363C">
      <w:pPr>
        <w:rPr>
          <w:lang w:val="en-US"/>
        </w:rPr>
      </w:pPr>
      <w:r>
        <w:rPr>
          <w:lang w:val="en-US"/>
        </w:rPr>
        <w:t>For c</w:t>
      </w:r>
      <w:r w:rsidR="00BB363C" w:rsidRPr="00BB363C">
        <w:rPr>
          <w:lang w:val="en-US"/>
        </w:rPr>
        <w:t>ompanies that significantly contribute to a negative impact on the fund's ESG characteristics, or violate St. Petri Capital's Responsible Investment Policy</w:t>
      </w:r>
      <w:r w:rsidR="00F4301F">
        <w:rPr>
          <w:lang w:val="en-US"/>
        </w:rPr>
        <w:t xml:space="preserve">, </w:t>
      </w:r>
      <w:r w:rsidR="00BB363C" w:rsidRPr="00BB363C">
        <w:rPr>
          <w:lang w:val="en-US"/>
        </w:rPr>
        <w:t xml:space="preserve">active ownership </w:t>
      </w:r>
      <w:r w:rsidR="00F4301F">
        <w:rPr>
          <w:lang w:val="en-US"/>
        </w:rPr>
        <w:t>measures can be</w:t>
      </w:r>
      <w:r w:rsidR="007F469A">
        <w:rPr>
          <w:lang w:val="en-US"/>
        </w:rPr>
        <w:t xml:space="preserve"> initiated</w:t>
      </w:r>
      <w:r w:rsidR="00BB363C" w:rsidRPr="00BB363C">
        <w:rPr>
          <w:lang w:val="en-US"/>
        </w:rPr>
        <w:t xml:space="preserve">. St. Petri Capital's Engagement Policy describes how active ownership can be exercised. Depending on the result of the exercise of active ownership, it can either be decided to retain, </w:t>
      </w:r>
      <w:r w:rsidR="0061306A" w:rsidRPr="00BB363C">
        <w:rPr>
          <w:lang w:val="en-US"/>
        </w:rPr>
        <w:t>sell,</w:t>
      </w:r>
      <w:r w:rsidR="00BB363C" w:rsidRPr="00BB363C">
        <w:rPr>
          <w:lang w:val="en-US"/>
        </w:rPr>
        <w:t xml:space="preserve"> or change the weight of the company in the portfolio.</w:t>
      </w:r>
    </w:p>
    <w:p w14:paraId="1425CD04" w14:textId="77777777" w:rsidR="00BB363C" w:rsidRPr="00BB363C" w:rsidRDefault="00BB363C" w:rsidP="00BB363C">
      <w:pPr>
        <w:rPr>
          <w:lang w:val="en-US"/>
        </w:rPr>
      </w:pPr>
    </w:p>
    <w:p w14:paraId="0936D85D" w14:textId="77777777" w:rsidR="00BB363C" w:rsidRPr="00BB363C" w:rsidRDefault="00BB363C" w:rsidP="00BB363C">
      <w:pPr>
        <w:rPr>
          <w:u w:val="single"/>
          <w:lang w:val="en-US"/>
        </w:rPr>
      </w:pPr>
      <w:r w:rsidRPr="00BB363C">
        <w:rPr>
          <w:u w:val="single"/>
          <w:lang w:val="en-US"/>
        </w:rPr>
        <w:t>Designated reference benchmark</w:t>
      </w:r>
    </w:p>
    <w:p w14:paraId="18172D52" w14:textId="77777777" w:rsidR="00BB363C" w:rsidRPr="00BB363C" w:rsidRDefault="00BB363C" w:rsidP="00BB363C">
      <w:pPr>
        <w:rPr>
          <w:lang w:val="en-US"/>
        </w:rPr>
      </w:pPr>
      <w:r w:rsidRPr="00BB363C">
        <w:rPr>
          <w:lang w:val="en-US"/>
        </w:rPr>
        <w:t>The fund does not use a reference benchmark.</w:t>
      </w:r>
    </w:p>
    <w:p w14:paraId="4C326BD8" w14:textId="77777777" w:rsidR="00BB363C" w:rsidRPr="00BB363C" w:rsidRDefault="00BB363C" w:rsidP="00BB363C">
      <w:pPr>
        <w:rPr>
          <w:lang w:val="en-US"/>
        </w:rPr>
      </w:pPr>
    </w:p>
    <w:p w14:paraId="45601B21" w14:textId="77777777" w:rsidR="00BB363C" w:rsidRPr="00BB363C" w:rsidRDefault="00BB363C" w:rsidP="00BB363C">
      <w:pPr>
        <w:rPr>
          <w:lang w:val="en-US"/>
        </w:rPr>
      </w:pPr>
      <w:r w:rsidRPr="00BB363C">
        <w:rPr>
          <w:lang w:val="en-US"/>
        </w:rPr>
        <w:t>Date</w:t>
      </w:r>
    </w:p>
    <w:p w14:paraId="5A276DCF" w14:textId="31C14904" w:rsidR="005B28CE" w:rsidRDefault="00BB363C" w:rsidP="00BB363C">
      <w:pPr>
        <w:rPr>
          <w:lang w:val="en-US"/>
        </w:rPr>
      </w:pPr>
      <w:r w:rsidRPr="00BB363C">
        <w:rPr>
          <w:lang w:val="en-US"/>
        </w:rPr>
        <w:t>2 January 2023.</w:t>
      </w:r>
    </w:p>
    <w:p w14:paraId="33B9D27D" w14:textId="77777777" w:rsidR="005B28CE" w:rsidRPr="00A93182" w:rsidRDefault="005B28CE" w:rsidP="00BB363C">
      <w:pPr>
        <w:rPr>
          <w:lang w:val="en-US"/>
        </w:rPr>
      </w:pPr>
    </w:p>
    <w:sectPr w:rsidR="005B28CE" w:rsidRPr="00A9318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BDC2" w14:textId="77777777" w:rsidR="00C262DE" w:rsidRDefault="00C262DE" w:rsidP="00402078">
      <w:pPr>
        <w:spacing w:after="0" w:line="240" w:lineRule="auto"/>
      </w:pPr>
      <w:r>
        <w:separator/>
      </w:r>
    </w:p>
  </w:endnote>
  <w:endnote w:type="continuationSeparator" w:id="0">
    <w:p w14:paraId="55A44287" w14:textId="77777777" w:rsidR="00C262DE" w:rsidRDefault="00C262DE" w:rsidP="0040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25F7E" w14:textId="77777777" w:rsidR="00C262DE" w:rsidRDefault="00C262DE" w:rsidP="00402078">
      <w:pPr>
        <w:spacing w:after="0" w:line="240" w:lineRule="auto"/>
      </w:pPr>
      <w:r>
        <w:separator/>
      </w:r>
    </w:p>
  </w:footnote>
  <w:footnote w:type="continuationSeparator" w:id="0">
    <w:p w14:paraId="16C88573" w14:textId="77777777" w:rsidR="00C262DE" w:rsidRDefault="00C262DE" w:rsidP="00402078">
      <w:pPr>
        <w:spacing w:after="0" w:line="240" w:lineRule="auto"/>
      </w:pPr>
      <w:r>
        <w:continuationSeparator/>
      </w:r>
    </w:p>
  </w:footnote>
  <w:footnote w:id="1">
    <w:p w14:paraId="4B63C1B7" w14:textId="2E92A371" w:rsidR="00402078" w:rsidRDefault="00402078">
      <w:pPr>
        <w:pStyle w:val="FootnoteText"/>
        <w:rPr>
          <w:lang w:val="en-US"/>
        </w:rPr>
      </w:pPr>
      <w:r>
        <w:rPr>
          <w:rStyle w:val="FootnoteReference"/>
        </w:rPr>
        <w:footnoteRef/>
      </w:r>
      <w:r w:rsidRPr="00B10C18">
        <w:rPr>
          <w:lang w:val="en-US"/>
        </w:rPr>
        <w:t xml:space="preserve"> </w:t>
      </w:r>
      <w:r w:rsidR="00B10C18" w:rsidRPr="00B10C18">
        <w:rPr>
          <w:lang w:val="en-US"/>
        </w:rPr>
        <w:t xml:space="preserve">Data relevance is a combined expression of whether data exists for the various 115 ESG </w:t>
      </w:r>
      <w:r w:rsidR="00B10C18">
        <w:rPr>
          <w:lang w:val="en-US"/>
        </w:rPr>
        <w:t>metrics</w:t>
      </w:r>
      <w:r w:rsidR="00B10C18" w:rsidRPr="00B10C18">
        <w:rPr>
          <w:lang w:val="en-US"/>
        </w:rPr>
        <w:t xml:space="preserve"> that collectively make up a company's ESG</w:t>
      </w:r>
      <w:r w:rsidR="00B36963">
        <w:rPr>
          <w:lang w:val="en-US"/>
        </w:rPr>
        <w:t>-</w:t>
      </w:r>
      <w:r w:rsidR="00B10C18" w:rsidRPr="00B10C18">
        <w:rPr>
          <w:lang w:val="en-US"/>
        </w:rPr>
        <w:t>risk</w:t>
      </w:r>
      <w:r w:rsidR="00B10C18">
        <w:rPr>
          <w:lang w:val="en-US"/>
        </w:rPr>
        <w:t>-</w:t>
      </w:r>
      <w:r w:rsidR="00B10C18" w:rsidRPr="00B10C18">
        <w:rPr>
          <w:lang w:val="en-US"/>
        </w:rPr>
        <w:t xml:space="preserve">score, and the </w:t>
      </w:r>
      <w:r w:rsidR="00697002">
        <w:rPr>
          <w:lang w:val="en-US"/>
        </w:rPr>
        <w:t>mater</w:t>
      </w:r>
      <w:r w:rsidR="00A65C05">
        <w:rPr>
          <w:lang w:val="en-US"/>
        </w:rPr>
        <w:t>iality of each metri</w:t>
      </w:r>
      <w:r w:rsidR="00FB0E76">
        <w:rPr>
          <w:lang w:val="en-US"/>
        </w:rPr>
        <w:t>c</w:t>
      </w:r>
      <w:r w:rsidR="00051524">
        <w:rPr>
          <w:lang w:val="en-US"/>
        </w:rPr>
        <w:t>.</w:t>
      </w:r>
      <w:r w:rsidR="00B10C18" w:rsidRPr="00B10C18">
        <w:rPr>
          <w:lang w:val="en-US"/>
        </w:rPr>
        <w:t xml:space="preserve"> </w:t>
      </w:r>
      <w:r w:rsidR="00051524">
        <w:rPr>
          <w:lang w:val="en-US"/>
        </w:rPr>
        <w:t xml:space="preserve">The materiality assessment is based on a peer group materiality analysis. </w:t>
      </w:r>
      <w:r w:rsidR="00B10C18" w:rsidRPr="00B10C18">
        <w:rPr>
          <w:lang w:val="en-US"/>
        </w:rPr>
        <w:t>Data relevance is part of Clarity AI's method.</w:t>
      </w:r>
    </w:p>
    <w:p w14:paraId="76E899AE" w14:textId="60F7E502" w:rsidR="00AD66A3" w:rsidRPr="00B10C18" w:rsidRDefault="00AD66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314"/>
    <w:multiLevelType w:val="hybridMultilevel"/>
    <w:tmpl w:val="BC12B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0833B5"/>
    <w:multiLevelType w:val="hybridMultilevel"/>
    <w:tmpl w:val="AF969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980C17"/>
    <w:multiLevelType w:val="hybridMultilevel"/>
    <w:tmpl w:val="180CC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740C13"/>
    <w:multiLevelType w:val="hybridMultilevel"/>
    <w:tmpl w:val="B148C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E169EF"/>
    <w:multiLevelType w:val="hybridMultilevel"/>
    <w:tmpl w:val="69FE9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EF1C01"/>
    <w:multiLevelType w:val="hybridMultilevel"/>
    <w:tmpl w:val="33BAD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7D4577"/>
    <w:multiLevelType w:val="hybridMultilevel"/>
    <w:tmpl w:val="71CC2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E2A042D"/>
    <w:multiLevelType w:val="hybridMultilevel"/>
    <w:tmpl w:val="E4E25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F37681A"/>
    <w:multiLevelType w:val="hybridMultilevel"/>
    <w:tmpl w:val="DAB86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83224557">
    <w:abstractNumId w:val="2"/>
  </w:num>
  <w:num w:numId="2" w16cid:durableId="1708720296">
    <w:abstractNumId w:val="7"/>
  </w:num>
  <w:num w:numId="3" w16cid:durableId="1328678599">
    <w:abstractNumId w:val="3"/>
  </w:num>
  <w:num w:numId="4" w16cid:durableId="906498801">
    <w:abstractNumId w:val="6"/>
  </w:num>
  <w:num w:numId="5" w16cid:durableId="976033643">
    <w:abstractNumId w:val="4"/>
  </w:num>
  <w:num w:numId="6" w16cid:durableId="282199922">
    <w:abstractNumId w:val="0"/>
  </w:num>
  <w:num w:numId="7" w16cid:durableId="696279352">
    <w:abstractNumId w:val="8"/>
  </w:num>
  <w:num w:numId="8" w16cid:durableId="2033919005">
    <w:abstractNumId w:val="1"/>
  </w:num>
  <w:num w:numId="9" w16cid:durableId="928466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D"/>
    <w:rsid w:val="000068BB"/>
    <w:rsid w:val="00012F68"/>
    <w:rsid w:val="00016830"/>
    <w:rsid w:val="0001711B"/>
    <w:rsid w:val="00026211"/>
    <w:rsid w:val="0002627C"/>
    <w:rsid w:val="000317B8"/>
    <w:rsid w:val="00032BD6"/>
    <w:rsid w:val="00033964"/>
    <w:rsid w:val="00035B40"/>
    <w:rsid w:val="000367AC"/>
    <w:rsid w:val="0004458C"/>
    <w:rsid w:val="00045FC6"/>
    <w:rsid w:val="00047A9A"/>
    <w:rsid w:val="00051524"/>
    <w:rsid w:val="00055100"/>
    <w:rsid w:val="00060E80"/>
    <w:rsid w:val="00061D8E"/>
    <w:rsid w:val="000634CB"/>
    <w:rsid w:val="00066186"/>
    <w:rsid w:val="0006620D"/>
    <w:rsid w:val="00067FA9"/>
    <w:rsid w:val="00071755"/>
    <w:rsid w:val="000806B1"/>
    <w:rsid w:val="00083260"/>
    <w:rsid w:val="000905A3"/>
    <w:rsid w:val="00091CDF"/>
    <w:rsid w:val="000A0281"/>
    <w:rsid w:val="000A4C68"/>
    <w:rsid w:val="000A5109"/>
    <w:rsid w:val="000A6512"/>
    <w:rsid w:val="000B5FDA"/>
    <w:rsid w:val="000C49BC"/>
    <w:rsid w:val="000C56E2"/>
    <w:rsid w:val="000D07C1"/>
    <w:rsid w:val="000D0E75"/>
    <w:rsid w:val="000D42C5"/>
    <w:rsid w:val="000D4990"/>
    <w:rsid w:val="000F0885"/>
    <w:rsid w:val="000F72DC"/>
    <w:rsid w:val="00100FF3"/>
    <w:rsid w:val="00102FE1"/>
    <w:rsid w:val="001036F2"/>
    <w:rsid w:val="0010475D"/>
    <w:rsid w:val="0010602A"/>
    <w:rsid w:val="001066A7"/>
    <w:rsid w:val="001170BF"/>
    <w:rsid w:val="00117382"/>
    <w:rsid w:val="00120B48"/>
    <w:rsid w:val="00140AD6"/>
    <w:rsid w:val="001450F3"/>
    <w:rsid w:val="001616C1"/>
    <w:rsid w:val="00164048"/>
    <w:rsid w:val="0016603C"/>
    <w:rsid w:val="0018419F"/>
    <w:rsid w:val="00184418"/>
    <w:rsid w:val="00185CC0"/>
    <w:rsid w:val="0018694E"/>
    <w:rsid w:val="00197CA5"/>
    <w:rsid w:val="001A55EC"/>
    <w:rsid w:val="001A57E2"/>
    <w:rsid w:val="001A594A"/>
    <w:rsid w:val="001A73D0"/>
    <w:rsid w:val="001A7F69"/>
    <w:rsid w:val="001B2AD7"/>
    <w:rsid w:val="001C6A06"/>
    <w:rsid w:val="001C70C3"/>
    <w:rsid w:val="001D1F1B"/>
    <w:rsid w:val="001D2E30"/>
    <w:rsid w:val="001D71D3"/>
    <w:rsid w:val="001E0472"/>
    <w:rsid w:val="001F1B67"/>
    <w:rsid w:val="002058D1"/>
    <w:rsid w:val="002132FA"/>
    <w:rsid w:val="00213638"/>
    <w:rsid w:val="002256EC"/>
    <w:rsid w:val="00230650"/>
    <w:rsid w:val="00234909"/>
    <w:rsid w:val="00235652"/>
    <w:rsid w:val="00242311"/>
    <w:rsid w:val="00243146"/>
    <w:rsid w:val="0025082B"/>
    <w:rsid w:val="002523E7"/>
    <w:rsid w:val="002579D7"/>
    <w:rsid w:val="00264819"/>
    <w:rsid w:val="00265061"/>
    <w:rsid w:val="00267063"/>
    <w:rsid w:val="00271AED"/>
    <w:rsid w:val="00272148"/>
    <w:rsid w:val="002727A1"/>
    <w:rsid w:val="00272B1E"/>
    <w:rsid w:val="00272B5D"/>
    <w:rsid w:val="0027300F"/>
    <w:rsid w:val="00280F9B"/>
    <w:rsid w:val="0028495C"/>
    <w:rsid w:val="00297CA6"/>
    <w:rsid w:val="002A35C3"/>
    <w:rsid w:val="002A7DAC"/>
    <w:rsid w:val="002B0C8E"/>
    <w:rsid w:val="002B2751"/>
    <w:rsid w:val="002B5927"/>
    <w:rsid w:val="002B7B42"/>
    <w:rsid w:val="002C497E"/>
    <w:rsid w:val="002D4A14"/>
    <w:rsid w:val="002F3C80"/>
    <w:rsid w:val="002F6744"/>
    <w:rsid w:val="0030009B"/>
    <w:rsid w:val="00300C22"/>
    <w:rsid w:val="00320084"/>
    <w:rsid w:val="00321384"/>
    <w:rsid w:val="0032387C"/>
    <w:rsid w:val="003265B2"/>
    <w:rsid w:val="00327E0F"/>
    <w:rsid w:val="00332F0C"/>
    <w:rsid w:val="00333D10"/>
    <w:rsid w:val="00334F4D"/>
    <w:rsid w:val="0033582F"/>
    <w:rsid w:val="0033733D"/>
    <w:rsid w:val="00350CC8"/>
    <w:rsid w:val="0035165C"/>
    <w:rsid w:val="00351B52"/>
    <w:rsid w:val="003671B1"/>
    <w:rsid w:val="00374609"/>
    <w:rsid w:val="0037770E"/>
    <w:rsid w:val="00380587"/>
    <w:rsid w:val="00380F26"/>
    <w:rsid w:val="003820B5"/>
    <w:rsid w:val="00387501"/>
    <w:rsid w:val="003947E4"/>
    <w:rsid w:val="003958EF"/>
    <w:rsid w:val="0039728D"/>
    <w:rsid w:val="003A108E"/>
    <w:rsid w:val="003A1E04"/>
    <w:rsid w:val="003A6BD8"/>
    <w:rsid w:val="003A756A"/>
    <w:rsid w:val="003B468E"/>
    <w:rsid w:val="003C1E33"/>
    <w:rsid w:val="003C284D"/>
    <w:rsid w:val="003C707B"/>
    <w:rsid w:val="003C75B6"/>
    <w:rsid w:val="003D2F2A"/>
    <w:rsid w:val="003E2EA8"/>
    <w:rsid w:val="003E4B0B"/>
    <w:rsid w:val="003F0B0E"/>
    <w:rsid w:val="003F6196"/>
    <w:rsid w:val="00402078"/>
    <w:rsid w:val="004147F9"/>
    <w:rsid w:val="0041599B"/>
    <w:rsid w:val="00415FD4"/>
    <w:rsid w:val="00416A3B"/>
    <w:rsid w:val="00424522"/>
    <w:rsid w:val="004311BE"/>
    <w:rsid w:val="00431565"/>
    <w:rsid w:val="00444414"/>
    <w:rsid w:val="00451D6E"/>
    <w:rsid w:val="00452683"/>
    <w:rsid w:val="0045308C"/>
    <w:rsid w:val="00455191"/>
    <w:rsid w:val="00472EFB"/>
    <w:rsid w:val="004805A3"/>
    <w:rsid w:val="00490B6E"/>
    <w:rsid w:val="004928C2"/>
    <w:rsid w:val="004959F9"/>
    <w:rsid w:val="004A25DF"/>
    <w:rsid w:val="004A411A"/>
    <w:rsid w:val="004A4EF6"/>
    <w:rsid w:val="004A7724"/>
    <w:rsid w:val="004A7C16"/>
    <w:rsid w:val="004B62EC"/>
    <w:rsid w:val="004C1BF2"/>
    <w:rsid w:val="004C7441"/>
    <w:rsid w:val="004D03BF"/>
    <w:rsid w:val="004D33E7"/>
    <w:rsid w:val="004D5328"/>
    <w:rsid w:val="004D7B85"/>
    <w:rsid w:val="004F17C0"/>
    <w:rsid w:val="004F57A2"/>
    <w:rsid w:val="004F71E1"/>
    <w:rsid w:val="00500DE0"/>
    <w:rsid w:val="00505445"/>
    <w:rsid w:val="00510311"/>
    <w:rsid w:val="0051036D"/>
    <w:rsid w:val="0051206C"/>
    <w:rsid w:val="00512634"/>
    <w:rsid w:val="0051468F"/>
    <w:rsid w:val="00514869"/>
    <w:rsid w:val="005238EF"/>
    <w:rsid w:val="00524B3A"/>
    <w:rsid w:val="00532306"/>
    <w:rsid w:val="005369C6"/>
    <w:rsid w:val="005400FD"/>
    <w:rsid w:val="00544006"/>
    <w:rsid w:val="00551A79"/>
    <w:rsid w:val="00553621"/>
    <w:rsid w:val="00562E36"/>
    <w:rsid w:val="00566B15"/>
    <w:rsid w:val="0056739F"/>
    <w:rsid w:val="005806C2"/>
    <w:rsid w:val="00585C33"/>
    <w:rsid w:val="00592F3E"/>
    <w:rsid w:val="005A4F12"/>
    <w:rsid w:val="005A4FD6"/>
    <w:rsid w:val="005A72F7"/>
    <w:rsid w:val="005B28CE"/>
    <w:rsid w:val="005B5B66"/>
    <w:rsid w:val="005C0456"/>
    <w:rsid w:val="005C59E5"/>
    <w:rsid w:val="005C6DC3"/>
    <w:rsid w:val="005D0A00"/>
    <w:rsid w:val="005D1010"/>
    <w:rsid w:val="005D1FAC"/>
    <w:rsid w:val="005D62C6"/>
    <w:rsid w:val="005E17F3"/>
    <w:rsid w:val="005E1943"/>
    <w:rsid w:val="005E349A"/>
    <w:rsid w:val="005E6B6D"/>
    <w:rsid w:val="005F3418"/>
    <w:rsid w:val="005F3786"/>
    <w:rsid w:val="005F381A"/>
    <w:rsid w:val="005F79F5"/>
    <w:rsid w:val="006039D2"/>
    <w:rsid w:val="006115EB"/>
    <w:rsid w:val="0061279F"/>
    <w:rsid w:val="0061306A"/>
    <w:rsid w:val="00615D35"/>
    <w:rsid w:val="00626407"/>
    <w:rsid w:val="00631091"/>
    <w:rsid w:val="00631434"/>
    <w:rsid w:val="00633348"/>
    <w:rsid w:val="0063435B"/>
    <w:rsid w:val="00634581"/>
    <w:rsid w:val="00644825"/>
    <w:rsid w:val="006540DC"/>
    <w:rsid w:val="00656E70"/>
    <w:rsid w:val="006571B3"/>
    <w:rsid w:val="00657EC9"/>
    <w:rsid w:val="00660D0F"/>
    <w:rsid w:val="00660DB6"/>
    <w:rsid w:val="0066662C"/>
    <w:rsid w:val="00667EA5"/>
    <w:rsid w:val="00670A28"/>
    <w:rsid w:val="00681EE3"/>
    <w:rsid w:val="00684A67"/>
    <w:rsid w:val="0069432F"/>
    <w:rsid w:val="00696A41"/>
    <w:rsid w:val="00697002"/>
    <w:rsid w:val="006A5EC6"/>
    <w:rsid w:val="006B62AC"/>
    <w:rsid w:val="006C23BE"/>
    <w:rsid w:val="006C476D"/>
    <w:rsid w:val="006C5F8A"/>
    <w:rsid w:val="006D741E"/>
    <w:rsid w:val="006D786B"/>
    <w:rsid w:val="00700FC3"/>
    <w:rsid w:val="007011E9"/>
    <w:rsid w:val="00701334"/>
    <w:rsid w:val="00711CDF"/>
    <w:rsid w:val="00713F31"/>
    <w:rsid w:val="00715913"/>
    <w:rsid w:val="00715C3D"/>
    <w:rsid w:val="007176A2"/>
    <w:rsid w:val="00721A59"/>
    <w:rsid w:val="00730BA4"/>
    <w:rsid w:val="00732ED5"/>
    <w:rsid w:val="0073411E"/>
    <w:rsid w:val="00740B2D"/>
    <w:rsid w:val="00743A42"/>
    <w:rsid w:val="00747C1A"/>
    <w:rsid w:val="007522F1"/>
    <w:rsid w:val="00757A22"/>
    <w:rsid w:val="007609C8"/>
    <w:rsid w:val="00760D7B"/>
    <w:rsid w:val="00763E50"/>
    <w:rsid w:val="007654A4"/>
    <w:rsid w:val="00772A41"/>
    <w:rsid w:val="007826F1"/>
    <w:rsid w:val="00785434"/>
    <w:rsid w:val="00785527"/>
    <w:rsid w:val="00792624"/>
    <w:rsid w:val="007A2882"/>
    <w:rsid w:val="007A2DF3"/>
    <w:rsid w:val="007A5FD6"/>
    <w:rsid w:val="007B12FA"/>
    <w:rsid w:val="007C2FB2"/>
    <w:rsid w:val="007C308D"/>
    <w:rsid w:val="007C35EE"/>
    <w:rsid w:val="007C372D"/>
    <w:rsid w:val="007C7373"/>
    <w:rsid w:val="007D1CEF"/>
    <w:rsid w:val="007D337B"/>
    <w:rsid w:val="007E138E"/>
    <w:rsid w:val="007E3661"/>
    <w:rsid w:val="007E54E4"/>
    <w:rsid w:val="007E5B68"/>
    <w:rsid w:val="007E638A"/>
    <w:rsid w:val="007E7929"/>
    <w:rsid w:val="007F1AE6"/>
    <w:rsid w:val="007F1E3A"/>
    <w:rsid w:val="007F2610"/>
    <w:rsid w:val="007F2861"/>
    <w:rsid w:val="007F2D48"/>
    <w:rsid w:val="007F45A2"/>
    <w:rsid w:val="007F469A"/>
    <w:rsid w:val="007F7D5B"/>
    <w:rsid w:val="00800997"/>
    <w:rsid w:val="00804C92"/>
    <w:rsid w:val="008062A6"/>
    <w:rsid w:val="00807A5B"/>
    <w:rsid w:val="00827859"/>
    <w:rsid w:val="00831EA8"/>
    <w:rsid w:val="00833A85"/>
    <w:rsid w:val="00840370"/>
    <w:rsid w:val="00841CF9"/>
    <w:rsid w:val="0084517B"/>
    <w:rsid w:val="008452EC"/>
    <w:rsid w:val="00850861"/>
    <w:rsid w:val="00860538"/>
    <w:rsid w:val="00862B45"/>
    <w:rsid w:val="00874F1E"/>
    <w:rsid w:val="00877043"/>
    <w:rsid w:val="008946F5"/>
    <w:rsid w:val="00896E79"/>
    <w:rsid w:val="008A2B64"/>
    <w:rsid w:val="008A51D1"/>
    <w:rsid w:val="008A639F"/>
    <w:rsid w:val="008B1DA2"/>
    <w:rsid w:val="008B42E5"/>
    <w:rsid w:val="008C11CC"/>
    <w:rsid w:val="008D0766"/>
    <w:rsid w:val="008D342E"/>
    <w:rsid w:val="008D6842"/>
    <w:rsid w:val="008E18BF"/>
    <w:rsid w:val="008E4B28"/>
    <w:rsid w:val="0091361C"/>
    <w:rsid w:val="00913CCC"/>
    <w:rsid w:val="00916B23"/>
    <w:rsid w:val="00922360"/>
    <w:rsid w:val="00927507"/>
    <w:rsid w:val="00931231"/>
    <w:rsid w:val="0093676A"/>
    <w:rsid w:val="00944545"/>
    <w:rsid w:val="00944E83"/>
    <w:rsid w:val="0094754E"/>
    <w:rsid w:val="00951025"/>
    <w:rsid w:val="0095392D"/>
    <w:rsid w:val="00956004"/>
    <w:rsid w:val="00956B22"/>
    <w:rsid w:val="00962957"/>
    <w:rsid w:val="00967BB8"/>
    <w:rsid w:val="00974A12"/>
    <w:rsid w:val="00991791"/>
    <w:rsid w:val="009946A4"/>
    <w:rsid w:val="00996DF1"/>
    <w:rsid w:val="00997EB7"/>
    <w:rsid w:val="009B0287"/>
    <w:rsid w:val="009B0F34"/>
    <w:rsid w:val="009B6869"/>
    <w:rsid w:val="009C4EA4"/>
    <w:rsid w:val="009D18D8"/>
    <w:rsid w:val="009D46D9"/>
    <w:rsid w:val="009D76CC"/>
    <w:rsid w:val="009E5B9C"/>
    <w:rsid w:val="009E663D"/>
    <w:rsid w:val="009E6A73"/>
    <w:rsid w:val="009E717E"/>
    <w:rsid w:val="009F2A49"/>
    <w:rsid w:val="00A03A38"/>
    <w:rsid w:val="00A05876"/>
    <w:rsid w:val="00A105AD"/>
    <w:rsid w:val="00A234FF"/>
    <w:rsid w:val="00A23F51"/>
    <w:rsid w:val="00A348FD"/>
    <w:rsid w:val="00A36A04"/>
    <w:rsid w:val="00A44A77"/>
    <w:rsid w:val="00A50342"/>
    <w:rsid w:val="00A516E8"/>
    <w:rsid w:val="00A65C05"/>
    <w:rsid w:val="00A722A3"/>
    <w:rsid w:val="00A72975"/>
    <w:rsid w:val="00A749CC"/>
    <w:rsid w:val="00A770AA"/>
    <w:rsid w:val="00A81F50"/>
    <w:rsid w:val="00A83C6E"/>
    <w:rsid w:val="00A855A5"/>
    <w:rsid w:val="00A8707C"/>
    <w:rsid w:val="00A876D9"/>
    <w:rsid w:val="00A928B3"/>
    <w:rsid w:val="00A93182"/>
    <w:rsid w:val="00A95212"/>
    <w:rsid w:val="00AA5C8C"/>
    <w:rsid w:val="00AB78ED"/>
    <w:rsid w:val="00AC00B5"/>
    <w:rsid w:val="00AC2B38"/>
    <w:rsid w:val="00AD204B"/>
    <w:rsid w:val="00AD66A3"/>
    <w:rsid w:val="00AE21D9"/>
    <w:rsid w:val="00AE32A9"/>
    <w:rsid w:val="00AE51A9"/>
    <w:rsid w:val="00AF3212"/>
    <w:rsid w:val="00B016B0"/>
    <w:rsid w:val="00B0492F"/>
    <w:rsid w:val="00B04BE5"/>
    <w:rsid w:val="00B04C43"/>
    <w:rsid w:val="00B0529E"/>
    <w:rsid w:val="00B0569D"/>
    <w:rsid w:val="00B07AB0"/>
    <w:rsid w:val="00B10C18"/>
    <w:rsid w:val="00B127FC"/>
    <w:rsid w:val="00B13745"/>
    <w:rsid w:val="00B22294"/>
    <w:rsid w:val="00B22F56"/>
    <w:rsid w:val="00B32E16"/>
    <w:rsid w:val="00B33B85"/>
    <w:rsid w:val="00B34522"/>
    <w:rsid w:val="00B36963"/>
    <w:rsid w:val="00B465FD"/>
    <w:rsid w:val="00B513BA"/>
    <w:rsid w:val="00B53509"/>
    <w:rsid w:val="00B60795"/>
    <w:rsid w:val="00B70A12"/>
    <w:rsid w:val="00B71410"/>
    <w:rsid w:val="00B8783F"/>
    <w:rsid w:val="00B92959"/>
    <w:rsid w:val="00B92F17"/>
    <w:rsid w:val="00B94794"/>
    <w:rsid w:val="00B951FA"/>
    <w:rsid w:val="00B965C5"/>
    <w:rsid w:val="00BA10BC"/>
    <w:rsid w:val="00BA6092"/>
    <w:rsid w:val="00BB242F"/>
    <w:rsid w:val="00BB32DE"/>
    <w:rsid w:val="00BB363C"/>
    <w:rsid w:val="00BB389D"/>
    <w:rsid w:val="00BC35B6"/>
    <w:rsid w:val="00BC42C4"/>
    <w:rsid w:val="00BC5AE7"/>
    <w:rsid w:val="00BC771E"/>
    <w:rsid w:val="00BD4385"/>
    <w:rsid w:val="00BE15E5"/>
    <w:rsid w:val="00BE4CD8"/>
    <w:rsid w:val="00BE5641"/>
    <w:rsid w:val="00BE6208"/>
    <w:rsid w:val="00BF0165"/>
    <w:rsid w:val="00BF3117"/>
    <w:rsid w:val="00BF4006"/>
    <w:rsid w:val="00C0166A"/>
    <w:rsid w:val="00C01AF5"/>
    <w:rsid w:val="00C02B2B"/>
    <w:rsid w:val="00C13042"/>
    <w:rsid w:val="00C13743"/>
    <w:rsid w:val="00C15190"/>
    <w:rsid w:val="00C21EF3"/>
    <w:rsid w:val="00C23A42"/>
    <w:rsid w:val="00C262DE"/>
    <w:rsid w:val="00C26BDC"/>
    <w:rsid w:val="00C3064F"/>
    <w:rsid w:val="00C3444B"/>
    <w:rsid w:val="00C47A66"/>
    <w:rsid w:val="00C50B40"/>
    <w:rsid w:val="00C51F47"/>
    <w:rsid w:val="00C60047"/>
    <w:rsid w:val="00C65478"/>
    <w:rsid w:val="00C70D0A"/>
    <w:rsid w:val="00C75FA6"/>
    <w:rsid w:val="00C84B73"/>
    <w:rsid w:val="00C964F5"/>
    <w:rsid w:val="00CA020C"/>
    <w:rsid w:val="00CA428B"/>
    <w:rsid w:val="00CA4A75"/>
    <w:rsid w:val="00CA5937"/>
    <w:rsid w:val="00CB4BF8"/>
    <w:rsid w:val="00CB6B5A"/>
    <w:rsid w:val="00CB70F6"/>
    <w:rsid w:val="00CB72F4"/>
    <w:rsid w:val="00CC069D"/>
    <w:rsid w:val="00CC2B34"/>
    <w:rsid w:val="00CD5ABC"/>
    <w:rsid w:val="00CD5BDF"/>
    <w:rsid w:val="00CE04ED"/>
    <w:rsid w:val="00CE4437"/>
    <w:rsid w:val="00CF2D74"/>
    <w:rsid w:val="00CF7E6C"/>
    <w:rsid w:val="00D00B0F"/>
    <w:rsid w:val="00D00E74"/>
    <w:rsid w:val="00D048D1"/>
    <w:rsid w:val="00D06059"/>
    <w:rsid w:val="00D123D0"/>
    <w:rsid w:val="00D15D26"/>
    <w:rsid w:val="00D2280B"/>
    <w:rsid w:val="00D27135"/>
    <w:rsid w:val="00D31459"/>
    <w:rsid w:val="00D40B98"/>
    <w:rsid w:val="00D436E5"/>
    <w:rsid w:val="00D44A84"/>
    <w:rsid w:val="00D452CD"/>
    <w:rsid w:val="00D45F8D"/>
    <w:rsid w:val="00D541A5"/>
    <w:rsid w:val="00D550F9"/>
    <w:rsid w:val="00D572E0"/>
    <w:rsid w:val="00D57A01"/>
    <w:rsid w:val="00D57EB8"/>
    <w:rsid w:val="00D64B31"/>
    <w:rsid w:val="00D73C36"/>
    <w:rsid w:val="00D73F1E"/>
    <w:rsid w:val="00D746C0"/>
    <w:rsid w:val="00D75448"/>
    <w:rsid w:val="00D80E0D"/>
    <w:rsid w:val="00D8315A"/>
    <w:rsid w:val="00D840D1"/>
    <w:rsid w:val="00D85F42"/>
    <w:rsid w:val="00D8709A"/>
    <w:rsid w:val="00D926E2"/>
    <w:rsid w:val="00D962CA"/>
    <w:rsid w:val="00DA22E6"/>
    <w:rsid w:val="00DA4011"/>
    <w:rsid w:val="00DB139E"/>
    <w:rsid w:val="00DB2A1C"/>
    <w:rsid w:val="00DB7D4E"/>
    <w:rsid w:val="00DC0062"/>
    <w:rsid w:val="00DC0E3A"/>
    <w:rsid w:val="00DC51E5"/>
    <w:rsid w:val="00DC7112"/>
    <w:rsid w:val="00DE0C94"/>
    <w:rsid w:val="00DF0917"/>
    <w:rsid w:val="00DF1AD2"/>
    <w:rsid w:val="00DF5CAC"/>
    <w:rsid w:val="00E00009"/>
    <w:rsid w:val="00E05199"/>
    <w:rsid w:val="00E16F22"/>
    <w:rsid w:val="00E2117C"/>
    <w:rsid w:val="00E231AA"/>
    <w:rsid w:val="00E31A39"/>
    <w:rsid w:val="00E33EB3"/>
    <w:rsid w:val="00E36180"/>
    <w:rsid w:val="00E3628C"/>
    <w:rsid w:val="00E421D2"/>
    <w:rsid w:val="00E428A7"/>
    <w:rsid w:val="00E4565E"/>
    <w:rsid w:val="00E47415"/>
    <w:rsid w:val="00E52AEF"/>
    <w:rsid w:val="00E52BE7"/>
    <w:rsid w:val="00E53D94"/>
    <w:rsid w:val="00E6150A"/>
    <w:rsid w:val="00E66B86"/>
    <w:rsid w:val="00E73112"/>
    <w:rsid w:val="00E80C63"/>
    <w:rsid w:val="00E813C8"/>
    <w:rsid w:val="00E85181"/>
    <w:rsid w:val="00E91CDB"/>
    <w:rsid w:val="00E968C0"/>
    <w:rsid w:val="00EA266E"/>
    <w:rsid w:val="00EA2AF7"/>
    <w:rsid w:val="00EA2EB3"/>
    <w:rsid w:val="00EA7AFE"/>
    <w:rsid w:val="00EB4BA1"/>
    <w:rsid w:val="00EB5DFF"/>
    <w:rsid w:val="00EB7E91"/>
    <w:rsid w:val="00EC5440"/>
    <w:rsid w:val="00EC5654"/>
    <w:rsid w:val="00ED2845"/>
    <w:rsid w:val="00EE4362"/>
    <w:rsid w:val="00F1078D"/>
    <w:rsid w:val="00F118D7"/>
    <w:rsid w:val="00F14B0F"/>
    <w:rsid w:val="00F257AE"/>
    <w:rsid w:val="00F323FD"/>
    <w:rsid w:val="00F4301F"/>
    <w:rsid w:val="00F514F0"/>
    <w:rsid w:val="00F678BD"/>
    <w:rsid w:val="00F7219B"/>
    <w:rsid w:val="00F7416F"/>
    <w:rsid w:val="00F81AE3"/>
    <w:rsid w:val="00F829B2"/>
    <w:rsid w:val="00F8326F"/>
    <w:rsid w:val="00F867B2"/>
    <w:rsid w:val="00F90B3D"/>
    <w:rsid w:val="00F91724"/>
    <w:rsid w:val="00F925C1"/>
    <w:rsid w:val="00FA0EAB"/>
    <w:rsid w:val="00FA458B"/>
    <w:rsid w:val="00FA5A47"/>
    <w:rsid w:val="00FA7900"/>
    <w:rsid w:val="00FB0E76"/>
    <w:rsid w:val="00FB5CF4"/>
    <w:rsid w:val="00FD0551"/>
    <w:rsid w:val="00FE1BDE"/>
    <w:rsid w:val="00FE23A6"/>
    <w:rsid w:val="00FE253D"/>
    <w:rsid w:val="00FE37E2"/>
    <w:rsid w:val="00FF77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77D7"/>
  <w15:chartTrackingRefBased/>
  <w15:docId w15:val="{069731B9-3744-4171-AAEF-3163D288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AD"/>
    <w:pPr>
      <w:ind w:left="720"/>
      <w:contextualSpacing/>
    </w:pPr>
  </w:style>
  <w:style w:type="paragraph" w:styleId="FootnoteText">
    <w:name w:val="footnote text"/>
    <w:basedOn w:val="Normal"/>
    <w:link w:val="FootnoteTextChar"/>
    <w:uiPriority w:val="99"/>
    <w:semiHidden/>
    <w:unhideWhenUsed/>
    <w:rsid w:val="00402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078"/>
    <w:rPr>
      <w:sz w:val="20"/>
      <w:szCs w:val="20"/>
    </w:rPr>
  </w:style>
  <w:style w:type="character" w:styleId="FootnoteReference">
    <w:name w:val="footnote reference"/>
    <w:basedOn w:val="DefaultParagraphFont"/>
    <w:uiPriority w:val="99"/>
    <w:semiHidden/>
    <w:unhideWhenUsed/>
    <w:rsid w:val="00402078"/>
    <w:rPr>
      <w:vertAlign w:val="superscript"/>
    </w:rPr>
  </w:style>
  <w:style w:type="character" w:styleId="Hyperlink">
    <w:name w:val="Hyperlink"/>
    <w:basedOn w:val="DefaultParagraphFont"/>
    <w:uiPriority w:val="99"/>
    <w:unhideWhenUsed/>
    <w:rsid w:val="002B0C8E"/>
    <w:rPr>
      <w:color w:val="0563C1" w:themeColor="hyperlink"/>
      <w:u w:val="single"/>
    </w:rPr>
  </w:style>
  <w:style w:type="character" w:styleId="UnresolvedMention">
    <w:name w:val="Unresolved Mention"/>
    <w:basedOn w:val="DefaultParagraphFont"/>
    <w:uiPriority w:val="99"/>
    <w:semiHidden/>
    <w:unhideWhenUsed/>
    <w:rsid w:val="002B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6806">
      <w:bodyDiv w:val="1"/>
      <w:marLeft w:val="0"/>
      <w:marRight w:val="0"/>
      <w:marTop w:val="0"/>
      <w:marBottom w:val="0"/>
      <w:divBdr>
        <w:top w:val="none" w:sz="0" w:space="0" w:color="auto"/>
        <w:left w:val="none" w:sz="0" w:space="0" w:color="auto"/>
        <w:bottom w:val="none" w:sz="0" w:space="0" w:color="auto"/>
        <w:right w:val="none" w:sz="0" w:space="0" w:color="auto"/>
      </w:divBdr>
      <w:divsChild>
        <w:div w:id="450131992">
          <w:marLeft w:val="0"/>
          <w:marRight w:val="0"/>
          <w:marTop w:val="0"/>
          <w:marBottom w:val="0"/>
          <w:divBdr>
            <w:top w:val="none" w:sz="0" w:space="0" w:color="auto"/>
            <w:left w:val="none" w:sz="0" w:space="0" w:color="auto"/>
            <w:bottom w:val="none" w:sz="0" w:space="0" w:color="auto"/>
            <w:right w:val="none" w:sz="0" w:space="0" w:color="auto"/>
          </w:divBdr>
        </w:div>
        <w:div w:id="1649701940">
          <w:marLeft w:val="0"/>
          <w:marRight w:val="0"/>
          <w:marTop w:val="0"/>
          <w:marBottom w:val="0"/>
          <w:divBdr>
            <w:top w:val="none" w:sz="0" w:space="0" w:color="auto"/>
            <w:left w:val="none" w:sz="0" w:space="0" w:color="auto"/>
            <w:bottom w:val="none" w:sz="0" w:space="0" w:color="auto"/>
            <w:right w:val="none" w:sz="0" w:space="0" w:color="auto"/>
          </w:divBdr>
          <w:divsChild>
            <w:div w:id="819813518">
              <w:marLeft w:val="0"/>
              <w:marRight w:val="0"/>
              <w:marTop w:val="0"/>
              <w:marBottom w:val="0"/>
              <w:divBdr>
                <w:top w:val="none" w:sz="0" w:space="0" w:color="auto"/>
                <w:left w:val="none" w:sz="0" w:space="0" w:color="auto"/>
                <w:bottom w:val="none" w:sz="0" w:space="0" w:color="auto"/>
                <w:right w:val="none" w:sz="0" w:space="0" w:color="auto"/>
              </w:divBdr>
              <w:divsChild>
                <w:div w:id="1271813014">
                  <w:marLeft w:val="0"/>
                  <w:marRight w:val="0"/>
                  <w:marTop w:val="0"/>
                  <w:marBottom w:val="0"/>
                  <w:divBdr>
                    <w:top w:val="none" w:sz="0" w:space="0" w:color="auto"/>
                    <w:left w:val="none" w:sz="0" w:space="0" w:color="auto"/>
                    <w:bottom w:val="none" w:sz="0" w:space="0" w:color="auto"/>
                    <w:right w:val="none" w:sz="0" w:space="0" w:color="auto"/>
                  </w:divBdr>
                  <w:divsChild>
                    <w:div w:id="317152171">
                      <w:marLeft w:val="0"/>
                      <w:marRight w:val="0"/>
                      <w:marTop w:val="0"/>
                      <w:marBottom w:val="0"/>
                      <w:divBdr>
                        <w:top w:val="none" w:sz="0" w:space="0" w:color="auto"/>
                        <w:left w:val="none" w:sz="0" w:space="0" w:color="auto"/>
                        <w:bottom w:val="none" w:sz="0" w:space="0" w:color="auto"/>
                        <w:right w:val="none" w:sz="0" w:space="0" w:color="auto"/>
                      </w:divBdr>
                      <w:divsChild>
                        <w:div w:id="18240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3719">
              <w:marLeft w:val="0"/>
              <w:marRight w:val="0"/>
              <w:marTop w:val="0"/>
              <w:marBottom w:val="0"/>
              <w:divBdr>
                <w:top w:val="none" w:sz="0" w:space="0" w:color="auto"/>
                <w:left w:val="none" w:sz="0" w:space="0" w:color="auto"/>
                <w:bottom w:val="none" w:sz="0" w:space="0" w:color="auto"/>
                <w:right w:val="none" w:sz="0" w:space="0" w:color="auto"/>
              </w:divBdr>
              <w:divsChild>
                <w:div w:id="1820918104">
                  <w:marLeft w:val="0"/>
                  <w:marRight w:val="0"/>
                  <w:marTop w:val="0"/>
                  <w:marBottom w:val="0"/>
                  <w:divBdr>
                    <w:top w:val="none" w:sz="0" w:space="0" w:color="auto"/>
                    <w:left w:val="none" w:sz="0" w:space="0" w:color="auto"/>
                    <w:bottom w:val="none" w:sz="0" w:space="0" w:color="auto"/>
                    <w:right w:val="none" w:sz="0" w:space="0" w:color="auto"/>
                  </w:divBdr>
                  <w:divsChild>
                    <w:div w:id="16631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etricapital.com/wp-content/uploads/2022/08/Responsible-Investment-Policy.pdf"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stpetricapital.com/wp-content/uploads/2023/09/230912-Shorting-policy-and-reporting-2023.pdf"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 </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b="1">
              <a:solidFill>
                <a:sysClr val="windowText" lastClr="000000"/>
              </a:solidFill>
              <a:latin typeface="Calibri" panose="020F0502020204030204"/>
              <a:ea typeface="+mn-ea"/>
              <a:cs typeface="+mn-cs"/>
            </a:rPr>
            <a:t>#2 Other.</a:t>
          </a:r>
          <a:r>
            <a:rPr lang="en-US" sz="900">
              <a:solidFill>
                <a:sysClr val="windowText" lastClr="000000"/>
              </a:solidFill>
              <a:latin typeface="Calibri" panose="020F0502020204030204"/>
              <a:ea typeface="+mn-ea"/>
              <a:cs typeface="+mn-cs"/>
            </a:rPr>
            <a:t> </a:t>
          </a:r>
          <a:r>
            <a:rPr lang="da-DK" sz="900">
              <a:solidFill>
                <a:sysClr val="windowText" lastClr="000000"/>
              </a:solidFill>
              <a:latin typeface="Calibri" panose="020F0502020204030204"/>
              <a:ea typeface="+mn-ea"/>
              <a:cs typeface="+mn-cs"/>
            </a:rPr>
            <a:t>A cash share above 60% requires the management's approval. 90% of the assets can be placed in net short equity positions. Short and long individual positions in ETFs can weight up to 40% respectively.</a:t>
          </a:r>
          <a:endParaRPr lang="en-US" sz="900">
            <a:solidFill>
              <a:sysClr val="windowText" lastClr="000000"/>
            </a:solidFill>
            <a:latin typeface="Calibri" panose="020F0502020204030204"/>
            <a:ea typeface="+mn-ea"/>
            <a:cs typeface="+mn-cs"/>
          </a:endParaRPr>
        </a:p>
        <a:p>
          <a:endParaRPr lang="en-US" sz="900">
            <a:solidFill>
              <a:sysClr val="windowText" lastClr="000000"/>
            </a:solidFill>
            <a:latin typeface="Calibri" panose="020F0502020204030204"/>
            <a:ea typeface="+mn-ea"/>
            <a:cs typeface="+mn-cs"/>
          </a:endParaRP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Aligned with E/S characteristics.</a:t>
          </a:r>
          <a:r>
            <a:rPr lang="en-GB" sz="900" b="1">
              <a:solidFill>
                <a:srgbClr val="FF0000"/>
              </a:solidFill>
              <a:latin typeface="Calibri" panose="020F0502020204030204"/>
              <a:ea typeface="+mn-ea"/>
              <a:cs typeface="+mn-cs"/>
            </a:rPr>
            <a:t> </a:t>
          </a:r>
          <a:r>
            <a:rPr lang="en-GB" sz="900" b="0">
              <a:solidFill>
                <a:sysClr val="windowText" lastClr="000000"/>
              </a:solidFill>
              <a:latin typeface="Calibri" panose="020F0502020204030204"/>
              <a:ea typeface="+mn-ea"/>
              <a:cs typeface="+mn-cs"/>
            </a:rPr>
            <a:t>0-90</a:t>
          </a:r>
          <a:r>
            <a:rPr lang="en-GB" sz="900" b="0">
              <a:solidFill>
                <a:sysClr val="windowText" lastClr="000000">
                  <a:hueOff val="0"/>
                  <a:satOff val="0"/>
                  <a:lumOff val="0"/>
                  <a:alphaOff val="0"/>
                </a:sysClr>
              </a:solidFill>
              <a:latin typeface="Calibri" panose="020F0502020204030204"/>
              <a:ea typeface="+mn-ea"/>
              <a:cs typeface="+mn-cs"/>
            </a:rPr>
            <a:t>% of  the investments are net long  equity positions (max. 10% in each position), that are aligned  with the Fund's E/S characteristics.</a:t>
          </a:r>
          <a:r>
            <a:rPr lang="en-GB" sz="900" b="1">
              <a:solidFill>
                <a:sysClr val="windowText" lastClr="000000">
                  <a:hueOff val="0"/>
                  <a:satOff val="0"/>
                  <a:lumOff val="0"/>
                  <a:alphaOff val="0"/>
                </a:sysClr>
              </a:solidFill>
              <a:latin typeface="Calibri" panose="020F0502020204030204"/>
              <a:ea typeface="+mn-ea"/>
              <a:cs typeface="+mn-cs"/>
            </a:rPr>
            <a:t> </a:t>
          </a:r>
          <a:endParaRPr lang="en-GB" sz="900" b="0">
            <a:solidFill>
              <a:sysClr val="windowText" lastClr="000000">
                <a:hueOff val="0"/>
                <a:satOff val="0"/>
                <a:lumOff val="0"/>
                <a:alphaOff val="0"/>
              </a:sysClr>
            </a:solidFill>
            <a:latin typeface="Calibri" panose="020F0502020204030204"/>
            <a:ea typeface="+mn-ea"/>
            <a:cs typeface="+mn-cs"/>
          </a:endParaRP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custScaleX="30919" custScaleY="81066" custLinFactNeighborX="6539" custLinFactNeighborY="-3252">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X="60598" custScaleY="73561" custLinFactNeighborX="-2538" custLinFactNeighborY="6363">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custScaleX="61372" custScaleY="76367" custLinFactNeighborX="-2384" custLinFactNeighborY="-19159">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527038" y="1101598"/>
          <a:ext cx="433688" cy="493960"/>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527038" y="515748"/>
          <a:ext cx="427659" cy="585849"/>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316492" y="617576"/>
          <a:ext cx="1210546" cy="968042"/>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 </a:t>
          </a:r>
        </a:p>
      </dsp:txBody>
      <dsp:txXfrm>
        <a:off x="316492" y="617576"/>
        <a:ext cx="1210546" cy="968042"/>
      </dsp:txXfrm>
    </dsp:sp>
    <dsp:sp modelId="{BD3BAF88-97F0-46F4-AF7C-A396DD664F0D}">
      <dsp:nvSpPr>
        <dsp:cNvPr id="0" name=""/>
        <dsp:cNvSpPr/>
      </dsp:nvSpPr>
      <dsp:spPr>
        <a:xfrm>
          <a:off x="1954697" y="76537"/>
          <a:ext cx="2372544" cy="878422"/>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Aligned with E/S characteristics.</a:t>
          </a:r>
          <a:r>
            <a:rPr lang="en-GB" sz="900" b="1" kern="1200">
              <a:solidFill>
                <a:srgbClr val="FF0000"/>
              </a:solidFill>
              <a:latin typeface="Calibri" panose="020F0502020204030204"/>
              <a:ea typeface="+mn-ea"/>
              <a:cs typeface="+mn-cs"/>
            </a:rPr>
            <a:t> </a:t>
          </a:r>
          <a:r>
            <a:rPr lang="en-GB" sz="900" b="0" kern="1200">
              <a:solidFill>
                <a:sysClr val="windowText" lastClr="000000"/>
              </a:solidFill>
              <a:latin typeface="Calibri" panose="020F0502020204030204"/>
              <a:ea typeface="+mn-ea"/>
              <a:cs typeface="+mn-cs"/>
            </a:rPr>
            <a:t>0-90</a:t>
          </a:r>
          <a:r>
            <a:rPr lang="en-GB" sz="900" b="0" kern="1200">
              <a:solidFill>
                <a:sysClr val="windowText" lastClr="000000">
                  <a:hueOff val="0"/>
                  <a:satOff val="0"/>
                  <a:lumOff val="0"/>
                  <a:alphaOff val="0"/>
                </a:sysClr>
              </a:solidFill>
              <a:latin typeface="Calibri" panose="020F0502020204030204"/>
              <a:ea typeface="+mn-ea"/>
              <a:cs typeface="+mn-cs"/>
            </a:rPr>
            <a:t>% of  the investments are net long  equity positions (max. 10% in each position), that are aligned  with the Fund's E/S characteristics.</a:t>
          </a:r>
          <a:r>
            <a:rPr lang="en-GB" sz="900" b="1" kern="1200">
              <a:solidFill>
                <a:sysClr val="windowText" lastClr="000000">
                  <a:hueOff val="0"/>
                  <a:satOff val="0"/>
                  <a:lumOff val="0"/>
                  <a:alphaOff val="0"/>
                </a:sysClr>
              </a:solidFill>
              <a:latin typeface="Calibri" panose="020F0502020204030204"/>
              <a:ea typeface="+mn-ea"/>
              <a:cs typeface="+mn-cs"/>
            </a:rPr>
            <a:t> </a:t>
          </a:r>
          <a:endParaRPr lang="en-GB" sz="900" b="0" kern="1200">
            <a:solidFill>
              <a:sysClr val="windowText" lastClr="000000">
                <a:hueOff val="0"/>
                <a:satOff val="0"/>
                <a:lumOff val="0"/>
                <a:alphaOff val="0"/>
              </a:sysClr>
            </a:solidFill>
            <a:latin typeface="Calibri" panose="020F0502020204030204"/>
            <a:ea typeface="+mn-ea"/>
            <a:cs typeface="+mn-cs"/>
          </a:endParaRPr>
        </a:p>
      </dsp:txBody>
      <dsp:txXfrm>
        <a:off x="1954697" y="76537"/>
        <a:ext cx="2372544" cy="878422"/>
      </dsp:txXfrm>
    </dsp:sp>
    <dsp:sp modelId="{226B17C5-6474-4423-A47F-CFC1D1F36659}">
      <dsp:nvSpPr>
        <dsp:cNvPr id="0" name=""/>
        <dsp:cNvSpPr/>
      </dsp:nvSpPr>
      <dsp:spPr>
        <a:xfrm>
          <a:off x="1960727" y="1139593"/>
          <a:ext cx="2402847" cy="911930"/>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latin typeface="Calibri" panose="020F0502020204030204"/>
              <a:ea typeface="+mn-ea"/>
              <a:cs typeface="+mn-cs"/>
            </a:rPr>
            <a:t>#2 Other.</a:t>
          </a:r>
          <a:r>
            <a:rPr lang="en-US" sz="900" kern="1200">
              <a:solidFill>
                <a:sysClr val="windowText" lastClr="000000"/>
              </a:solidFill>
              <a:latin typeface="Calibri" panose="020F0502020204030204"/>
              <a:ea typeface="+mn-ea"/>
              <a:cs typeface="+mn-cs"/>
            </a:rPr>
            <a:t> </a:t>
          </a:r>
          <a:r>
            <a:rPr lang="da-DK" sz="900" kern="1200">
              <a:solidFill>
                <a:sysClr val="windowText" lastClr="000000"/>
              </a:solidFill>
              <a:latin typeface="Calibri" panose="020F0502020204030204"/>
              <a:ea typeface="+mn-ea"/>
              <a:cs typeface="+mn-cs"/>
            </a:rPr>
            <a:t>A cash share above 60% requires the management's approval. 90% of the assets can be placed in net short equity positions. Short and long individual positions in ETFs can weight up to 40% respectively.</a:t>
          </a:r>
          <a:endParaRPr lang="en-US" sz="900"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US" sz="900" kern="1200">
            <a:solidFill>
              <a:sysClr val="windowText" lastClr="000000"/>
            </a:solidFill>
            <a:latin typeface="Calibri" panose="020F0502020204030204"/>
            <a:ea typeface="+mn-ea"/>
            <a:cs typeface="+mn-cs"/>
          </a:endParaRPr>
        </a:p>
      </dsp:txBody>
      <dsp:txXfrm>
        <a:off x="1960727" y="1139593"/>
        <a:ext cx="2402847" cy="91193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A2CC-4417-4F2D-8852-F28BD619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3007</Words>
  <Characters>18349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Dahlin</dc:creator>
  <cp:keywords/>
  <dc:description/>
  <cp:lastModifiedBy>Henrik Dahlin</cp:lastModifiedBy>
  <cp:revision>14</cp:revision>
  <dcterms:created xsi:type="dcterms:W3CDTF">2023-08-16T11:45:00Z</dcterms:created>
  <dcterms:modified xsi:type="dcterms:W3CDTF">2023-12-18T14:54:00Z</dcterms:modified>
</cp:coreProperties>
</file>